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2E5D36" w14:textId="77777777" w:rsidR="008C0BB1" w:rsidRPr="00CD5E36" w:rsidRDefault="008C0BB1" w:rsidP="00C43E29">
      <w:pPr>
        <w:pStyle w:val="NoSpacing"/>
        <w:rPr>
          <w:rFonts w:ascii="Arial" w:hAnsi="Arial" w:cs="Arial"/>
          <w:color w:val="FF173D"/>
          <w:sz w:val="56"/>
          <w:szCs w:val="56"/>
        </w:rPr>
      </w:pPr>
      <w:r w:rsidRPr="00CD5E36">
        <w:rPr>
          <w:rFonts w:ascii="Arial" w:hAnsi="Arial" w:cs="Arial"/>
          <w:color w:val="FF173D"/>
          <w:sz w:val="56"/>
          <w:szCs w:val="56"/>
        </w:rPr>
        <w:t xml:space="preserve">Somali Pirate Activity </w:t>
      </w:r>
    </w:p>
    <w:p w14:paraId="4EBAC2B3" w14:textId="77777777" w:rsidR="00C43E29" w:rsidRPr="00CD5E36" w:rsidRDefault="00C43E29" w:rsidP="00C43E29">
      <w:pPr>
        <w:pStyle w:val="NoSpacing"/>
        <w:rPr>
          <w:rFonts w:ascii="Arial" w:hAnsi="Arial" w:cs="Arial"/>
          <w:color w:val="FF173D"/>
          <w:sz w:val="56"/>
          <w:szCs w:val="56"/>
        </w:rPr>
      </w:pPr>
      <w:r w:rsidRPr="00CD5E36">
        <w:rPr>
          <w:rFonts w:ascii="Arial" w:hAnsi="Arial" w:cs="Arial"/>
          <w:color w:val="FF173D"/>
          <w:sz w:val="56"/>
          <w:szCs w:val="56"/>
        </w:rPr>
        <w:t>The High Risk Area</w:t>
      </w:r>
    </w:p>
    <w:p w14:paraId="6DCC1DF3" w14:textId="77777777" w:rsidR="00C43E29" w:rsidRPr="00CD5E36" w:rsidRDefault="00C43E29" w:rsidP="00C43E29">
      <w:pPr>
        <w:pStyle w:val="NoSpacing"/>
        <w:rPr>
          <w:rFonts w:ascii="Arial" w:hAnsi="Arial" w:cs="Arial"/>
          <w:color w:val="FF173D"/>
          <w:sz w:val="56"/>
          <w:szCs w:val="56"/>
        </w:rPr>
      </w:pPr>
    </w:p>
    <w:p w14:paraId="4AA5D3B6" w14:textId="7C3ED080" w:rsidR="00B554E8" w:rsidRPr="00CD5E36" w:rsidRDefault="00C43E29" w:rsidP="00C43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18"/>
        </w:rPr>
      </w:pPr>
      <w:r w:rsidRPr="00CD5E36">
        <w:rPr>
          <w:rFonts w:ascii="Arial" w:hAnsi="Arial" w:cs="Arial"/>
          <w:b/>
          <w:bCs/>
          <w:color w:val="0D73A6"/>
          <w:szCs w:val="18"/>
        </w:rPr>
        <w:t>2.</w:t>
      </w:r>
      <w:r w:rsidR="00B554E8" w:rsidRPr="00CD5E36">
        <w:rPr>
          <w:rFonts w:ascii="Arial" w:hAnsi="Arial" w:cs="Arial"/>
          <w:b/>
          <w:bCs/>
          <w:color w:val="0D73A6"/>
          <w:szCs w:val="18"/>
        </w:rPr>
        <w:t>1</w:t>
      </w:r>
      <w:r w:rsidRPr="00CD5E36">
        <w:rPr>
          <w:rFonts w:ascii="Arial" w:hAnsi="Arial" w:cs="Arial"/>
          <w:b/>
          <w:bCs/>
          <w:color w:val="0D73A6"/>
          <w:szCs w:val="18"/>
        </w:rPr>
        <w:t xml:space="preserve"> </w:t>
      </w:r>
      <w:r w:rsidRPr="00CD5E36">
        <w:rPr>
          <w:rFonts w:ascii="Arial" w:hAnsi="Arial" w:cs="Arial"/>
          <w:color w:val="000000"/>
          <w:szCs w:val="18"/>
        </w:rPr>
        <w:t xml:space="preserve">The </w:t>
      </w:r>
      <w:r w:rsidRPr="00CD5E36">
        <w:rPr>
          <w:rFonts w:ascii="Arial" w:hAnsi="Arial" w:cs="Arial"/>
          <w:bCs/>
          <w:color w:val="000000"/>
          <w:szCs w:val="18"/>
        </w:rPr>
        <w:t>High Risk Area</w:t>
      </w:r>
      <w:r w:rsidR="00C62CC2" w:rsidRPr="00CD5E36">
        <w:rPr>
          <w:rFonts w:ascii="Arial" w:hAnsi="Arial" w:cs="Arial"/>
          <w:bCs/>
          <w:color w:val="000000"/>
          <w:szCs w:val="18"/>
        </w:rPr>
        <w:t xml:space="preserve"> (HRA)</w:t>
      </w:r>
      <w:r w:rsidRPr="00CD5E36">
        <w:rPr>
          <w:rFonts w:ascii="Arial" w:hAnsi="Arial" w:cs="Arial"/>
          <w:bCs/>
          <w:color w:val="000000"/>
          <w:szCs w:val="18"/>
        </w:rPr>
        <w:t xml:space="preserve"> </w:t>
      </w:r>
      <w:r w:rsidR="00B554E8" w:rsidRPr="00CD5E36">
        <w:rPr>
          <w:rFonts w:ascii="Arial" w:hAnsi="Arial" w:cs="Arial"/>
          <w:bCs/>
          <w:color w:val="000000"/>
          <w:szCs w:val="18"/>
        </w:rPr>
        <w:t>is an area</w:t>
      </w:r>
      <w:r w:rsidR="008C0BB1" w:rsidRPr="00CD5E36">
        <w:rPr>
          <w:rFonts w:ascii="Arial" w:hAnsi="Arial" w:cs="Arial"/>
          <w:bCs/>
          <w:color w:val="000000"/>
          <w:szCs w:val="18"/>
        </w:rPr>
        <w:t xml:space="preserve"> within the </w:t>
      </w:r>
      <w:r w:rsidR="00B554E8" w:rsidRPr="00CD5E36">
        <w:rPr>
          <w:rFonts w:ascii="Arial" w:hAnsi="Arial" w:cs="Arial"/>
          <w:bCs/>
          <w:color w:val="000000"/>
          <w:szCs w:val="18"/>
        </w:rPr>
        <w:t>UKMTO designated Voluntary Reporting Area</w:t>
      </w:r>
      <w:r w:rsidR="00C62CC2" w:rsidRPr="00CD5E36">
        <w:rPr>
          <w:rFonts w:ascii="Arial" w:hAnsi="Arial" w:cs="Arial"/>
          <w:bCs/>
          <w:color w:val="000000"/>
          <w:szCs w:val="18"/>
        </w:rPr>
        <w:t xml:space="preserve"> (VRA)</w:t>
      </w:r>
      <w:r w:rsidR="008C0BB1" w:rsidRPr="00CD5E36">
        <w:rPr>
          <w:rFonts w:ascii="Arial" w:hAnsi="Arial" w:cs="Arial"/>
          <w:bCs/>
          <w:color w:val="000000"/>
          <w:szCs w:val="18"/>
        </w:rPr>
        <w:t xml:space="preserve"> where it is considered there is a high</w:t>
      </w:r>
      <w:r w:rsidR="007A6966" w:rsidRPr="00CD5E36">
        <w:rPr>
          <w:rFonts w:ascii="Arial" w:hAnsi="Arial" w:cs="Arial"/>
          <w:bCs/>
          <w:color w:val="000000"/>
          <w:szCs w:val="18"/>
        </w:rPr>
        <w:t>er</w:t>
      </w:r>
      <w:r w:rsidR="008C0BB1" w:rsidRPr="00CD5E36">
        <w:rPr>
          <w:rFonts w:ascii="Arial" w:hAnsi="Arial" w:cs="Arial"/>
          <w:bCs/>
          <w:color w:val="000000"/>
          <w:szCs w:val="18"/>
        </w:rPr>
        <w:t xml:space="preserve"> risk of piracy</w:t>
      </w:r>
      <w:r w:rsidR="0084005C" w:rsidRPr="00CD5E36">
        <w:rPr>
          <w:rFonts w:ascii="Arial" w:hAnsi="Arial" w:cs="Arial"/>
          <w:bCs/>
          <w:color w:val="000000"/>
          <w:szCs w:val="18"/>
        </w:rPr>
        <w:t xml:space="preserve"> and within which self-protective measures are </w:t>
      </w:r>
      <w:r w:rsidR="00825ADE" w:rsidRPr="00CD5E36">
        <w:rPr>
          <w:rFonts w:ascii="Arial" w:hAnsi="Arial" w:cs="Arial"/>
          <w:bCs/>
          <w:color w:val="000000"/>
          <w:szCs w:val="18"/>
        </w:rPr>
        <w:t xml:space="preserve">most </w:t>
      </w:r>
      <w:r w:rsidR="0084005C" w:rsidRPr="00CD5E36">
        <w:rPr>
          <w:rFonts w:ascii="Arial" w:hAnsi="Arial" w:cs="Arial"/>
          <w:bCs/>
          <w:color w:val="000000"/>
          <w:szCs w:val="18"/>
        </w:rPr>
        <w:t>likely to be required</w:t>
      </w:r>
      <w:r w:rsidR="008C0BB1" w:rsidRPr="00CD5E36">
        <w:rPr>
          <w:rFonts w:ascii="Arial" w:hAnsi="Arial" w:cs="Arial"/>
          <w:bCs/>
          <w:color w:val="000000"/>
          <w:szCs w:val="18"/>
        </w:rPr>
        <w:t xml:space="preserve">. </w:t>
      </w:r>
      <w:r w:rsidRPr="00CD5E36">
        <w:rPr>
          <w:rFonts w:ascii="Arial" w:hAnsi="Arial" w:cs="Arial"/>
          <w:color w:val="000000"/>
          <w:szCs w:val="18"/>
        </w:rPr>
        <w:t>For the purpose of BMP the High Risk Area is an area bounded by</w:t>
      </w:r>
      <w:r w:rsidR="00B554E8" w:rsidRPr="00CD5E36">
        <w:rPr>
          <w:rFonts w:ascii="Arial" w:hAnsi="Arial" w:cs="Arial"/>
          <w:color w:val="000000"/>
          <w:szCs w:val="18"/>
        </w:rPr>
        <w:t>:</w:t>
      </w:r>
    </w:p>
    <w:p w14:paraId="56B7BE43" w14:textId="77777777" w:rsidR="00B554E8" w:rsidRPr="00CD5E36" w:rsidRDefault="00B554E8" w:rsidP="00C43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18"/>
        </w:rPr>
      </w:pPr>
    </w:p>
    <w:p w14:paraId="620B05AD" w14:textId="4BFA4DC9" w:rsidR="00B554E8" w:rsidRPr="00CD5E36" w:rsidRDefault="00B554E8" w:rsidP="00B55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18"/>
        </w:rPr>
      </w:pPr>
      <w:r w:rsidRPr="00CD5E36">
        <w:rPr>
          <w:rFonts w:ascii="Arial" w:hAnsi="Arial" w:cs="Arial"/>
          <w:color w:val="000000"/>
          <w:szCs w:val="18"/>
        </w:rPr>
        <w:t xml:space="preserve">In the Red Sea: </w:t>
      </w:r>
      <w:r w:rsidRPr="00CD5E36">
        <w:rPr>
          <w:rFonts w:ascii="Arial" w:hAnsi="Arial" w:cs="Arial"/>
          <w:color w:val="000000"/>
          <w:szCs w:val="18"/>
        </w:rPr>
        <w:tab/>
      </w:r>
      <w:r w:rsidR="00CD5E36">
        <w:rPr>
          <w:rFonts w:ascii="Arial" w:hAnsi="Arial" w:cs="Arial"/>
          <w:color w:val="000000"/>
          <w:szCs w:val="18"/>
        </w:rPr>
        <w:tab/>
      </w:r>
      <w:r w:rsidRPr="00CD5E36">
        <w:rPr>
          <w:rFonts w:ascii="Arial" w:hAnsi="Arial" w:cs="Arial"/>
          <w:color w:val="000000"/>
          <w:szCs w:val="18"/>
        </w:rPr>
        <w:t>northern limit:</w:t>
      </w:r>
      <w:r w:rsidRPr="00CD5E36">
        <w:rPr>
          <w:rFonts w:ascii="Arial" w:hAnsi="Arial" w:cs="Arial"/>
          <w:color w:val="000000"/>
          <w:szCs w:val="18"/>
        </w:rPr>
        <w:tab/>
        <w:t>Latitude 15</w:t>
      </w:r>
      <w:r w:rsidRPr="00CD5E36">
        <w:rPr>
          <w:rFonts w:ascii="Arial" w:hAnsi="Arial" w:cs="Arial"/>
          <w:color w:val="000000"/>
          <w:szCs w:val="18"/>
          <w:vertAlign w:val="superscript"/>
        </w:rPr>
        <w:t>o</w:t>
      </w:r>
      <w:r w:rsidRPr="00CD5E36">
        <w:rPr>
          <w:rFonts w:ascii="Arial" w:hAnsi="Arial" w:cs="Arial"/>
          <w:color w:val="000000"/>
          <w:szCs w:val="18"/>
        </w:rPr>
        <w:t>N</w:t>
      </w:r>
    </w:p>
    <w:p w14:paraId="5BE5A8EB" w14:textId="4A45291E" w:rsidR="00B554E8" w:rsidRPr="00CD5E36" w:rsidRDefault="00B554E8" w:rsidP="00B55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18"/>
        </w:rPr>
      </w:pPr>
      <w:r w:rsidRPr="00CD5E36">
        <w:rPr>
          <w:rFonts w:ascii="Arial" w:hAnsi="Arial" w:cs="Arial"/>
          <w:color w:val="000000"/>
          <w:szCs w:val="18"/>
        </w:rPr>
        <w:t xml:space="preserve">In the Gulf of Oman: </w:t>
      </w:r>
      <w:r w:rsidR="00CD5E36">
        <w:rPr>
          <w:rFonts w:ascii="Arial" w:hAnsi="Arial" w:cs="Arial"/>
          <w:color w:val="000000"/>
          <w:szCs w:val="18"/>
        </w:rPr>
        <w:tab/>
      </w:r>
      <w:r w:rsidR="00CD5E36">
        <w:rPr>
          <w:rFonts w:ascii="Arial" w:hAnsi="Arial" w:cs="Arial"/>
          <w:color w:val="000000"/>
          <w:szCs w:val="18"/>
        </w:rPr>
        <w:tab/>
      </w:r>
      <w:r w:rsidRPr="00CD5E36">
        <w:rPr>
          <w:rFonts w:ascii="Arial" w:hAnsi="Arial" w:cs="Arial"/>
          <w:color w:val="000000"/>
          <w:szCs w:val="18"/>
        </w:rPr>
        <w:t>northern limit:</w:t>
      </w:r>
      <w:r w:rsidRPr="00CD5E36">
        <w:rPr>
          <w:rFonts w:ascii="Arial" w:hAnsi="Arial" w:cs="Arial"/>
          <w:color w:val="000000"/>
          <w:szCs w:val="18"/>
        </w:rPr>
        <w:tab/>
        <w:t>Latitude 22</w:t>
      </w:r>
      <w:r w:rsidRPr="00CD5E36">
        <w:rPr>
          <w:rFonts w:ascii="Arial" w:hAnsi="Arial" w:cs="Arial"/>
          <w:color w:val="000000"/>
          <w:szCs w:val="18"/>
          <w:vertAlign w:val="superscript"/>
        </w:rPr>
        <w:t>o</w:t>
      </w:r>
      <w:r w:rsidRPr="00CD5E36">
        <w:rPr>
          <w:rFonts w:ascii="Arial" w:hAnsi="Arial" w:cs="Arial"/>
          <w:color w:val="000000"/>
          <w:szCs w:val="18"/>
        </w:rPr>
        <w:t>N</w:t>
      </w:r>
    </w:p>
    <w:p w14:paraId="148E2EDE" w14:textId="77777777" w:rsidR="00B554E8" w:rsidRPr="00CD5E36" w:rsidRDefault="00B554E8" w:rsidP="00B55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18"/>
        </w:rPr>
      </w:pPr>
      <w:r w:rsidRPr="00CD5E36">
        <w:rPr>
          <w:rFonts w:ascii="Arial" w:hAnsi="Arial" w:cs="Arial"/>
          <w:color w:val="000000"/>
          <w:szCs w:val="18"/>
        </w:rPr>
        <w:t xml:space="preserve">Eastern limit: </w:t>
      </w:r>
      <w:r w:rsidRPr="00CD5E36">
        <w:rPr>
          <w:rFonts w:ascii="Arial" w:hAnsi="Arial" w:cs="Arial"/>
          <w:color w:val="000000"/>
          <w:szCs w:val="18"/>
        </w:rPr>
        <w:tab/>
      </w:r>
      <w:r w:rsidRPr="00CD5E36">
        <w:rPr>
          <w:rFonts w:ascii="Arial" w:hAnsi="Arial" w:cs="Arial"/>
          <w:color w:val="000000"/>
          <w:szCs w:val="18"/>
        </w:rPr>
        <w:tab/>
      </w:r>
      <w:r w:rsidRPr="00CD5E36">
        <w:rPr>
          <w:rFonts w:ascii="Arial" w:hAnsi="Arial" w:cs="Arial"/>
          <w:color w:val="000000"/>
          <w:szCs w:val="18"/>
        </w:rPr>
        <w:tab/>
        <w:t>Longitude 065</w:t>
      </w:r>
      <w:r w:rsidRPr="00CD5E36">
        <w:rPr>
          <w:rFonts w:ascii="Arial" w:hAnsi="Arial" w:cs="Arial"/>
          <w:color w:val="000000"/>
          <w:szCs w:val="18"/>
          <w:vertAlign w:val="superscript"/>
        </w:rPr>
        <w:t>o</w:t>
      </w:r>
      <w:r w:rsidRPr="00CD5E36">
        <w:rPr>
          <w:rFonts w:ascii="Arial" w:hAnsi="Arial" w:cs="Arial"/>
          <w:color w:val="000000"/>
          <w:szCs w:val="18"/>
        </w:rPr>
        <w:t>E</w:t>
      </w:r>
    </w:p>
    <w:p w14:paraId="2DA8B8EA" w14:textId="6826E124" w:rsidR="00B554E8" w:rsidRPr="00CD5E36" w:rsidRDefault="00B554E8" w:rsidP="00B55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18"/>
        </w:rPr>
      </w:pPr>
      <w:r w:rsidRPr="00CD5E36">
        <w:rPr>
          <w:rFonts w:ascii="Arial" w:hAnsi="Arial" w:cs="Arial"/>
          <w:color w:val="000000"/>
          <w:szCs w:val="18"/>
        </w:rPr>
        <w:t>Southern limit:</w:t>
      </w:r>
      <w:r w:rsidRPr="00CD5E36">
        <w:rPr>
          <w:rFonts w:ascii="Arial" w:hAnsi="Arial" w:cs="Arial"/>
          <w:color w:val="000000"/>
          <w:szCs w:val="18"/>
        </w:rPr>
        <w:tab/>
        <w:t xml:space="preserve"> </w:t>
      </w:r>
      <w:r w:rsidRPr="00CD5E36">
        <w:rPr>
          <w:rFonts w:ascii="Arial" w:hAnsi="Arial" w:cs="Arial"/>
          <w:color w:val="000000"/>
          <w:szCs w:val="18"/>
        </w:rPr>
        <w:tab/>
      </w:r>
      <w:r w:rsidRPr="00CD5E36">
        <w:rPr>
          <w:rFonts w:ascii="Arial" w:hAnsi="Arial" w:cs="Arial"/>
          <w:color w:val="000000"/>
          <w:szCs w:val="18"/>
        </w:rPr>
        <w:tab/>
        <w:t xml:space="preserve">Latitude </w:t>
      </w:r>
      <w:r w:rsidR="00F47E99" w:rsidRPr="00CD5E36">
        <w:rPr>
          <w:rFonts w:ascii="Arial" w:hAnsi="Arial" w:cs="Arial"/>
          <w:color w:val="000000"/>
          <w:szCs w:val="18"/>
        </w:rPr>
        <w:t>5</w:t>
      </w:r>
      <w:r w:rsidRPr="00CD5E36">
        <w:rPr>
          <w:rFonts w:ascii="Arial" w:hAnsi="Arial" w:cs="Arial"/>
          <w:color w:val="000000"/>
          <w:szCs w:val="18"/>
          <w:vertAlign w:val="superscript"/>
        </w:rPr>
        <w:t>o</w:t>
      </w:r>
      <w:r w:rsidRPr="00CD5E36">
        <w:rPr>
          <w:rFonts w:ascii="Arial" w:hAnsi="Arial" w:cs="Arial"/>
          <w:color w:val="000000"/>
          <w:szCs w:val="18"/>
        </w:rPr>
        <w:t>S</w:t>
      </w:r>
    </w:p>
    <w:p w14:paraId="3CCAC0AD" w14:textId="77777777" w:rsidR="00B554E8" w:rsidRPr="00CD5E36" w:rsidRDefault="00B554E8" w:rsidP="00C43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18"/>
        </w:rPr>
      </w:pPr>
    </w:p>
    <w:p w14:paraId="494E7441" w14:textId="77777777" w:rsidR="00C43E29" w:rsidRPr="00CD5E36" w:rsidRDefault="00BA2C91" w:rsidP="00C43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Cs w:val="18"/>
        </w:rPr>
      </w:pPr>
      <w:r w:rsidRPr="00CD5E36">
        <w:rPr>
          <w:rFonts w:ascii="Arial" w:hAnsi="Arial" w:cs="Arial"/>
          <w:color w:val="000000"/>
          <w:szCs w:val="18"/>
        </w:rPr>
        <w:t xml:space="preserve">It should be noted </w:t>
      </w:r>
      <w:r w:rsidR="0084005C" w:rsidRPr="00CD5E36">
        <w:rPr>
          <w:rFonts w:ascii="Arial" w:hAnsi="Arial" w:cs="Arial"/>
          <w:color w:val="000000"/>
          <w:szCs w:val="18"/>
        </w:rPr>
        <w:t xml:space="preserve">military threat assessments provided by SHADE indicate </w:t>
      </w:r>
      <w:r w:rsidR="00210617" w:rsidRPr="00CD5E36">
        <w:rPr>
          <w:rFonts w:ascii="Arial" w:hAnsi="Arial" w:cs="Arial"/>
          <w:color w:val="000000"/>
          <w:szCs w:val="18"/>
        </w:rPr>
        <w:t xml:space="preserve">that </w:t>
      </w:r>
      <w:r w:rsidR="00C62CC2" w:rsidRPr="00CD5E36">
        <w:rPr>
          <w:rFonts w:ascii="Arial" w:hAnsi="Arial" w:cs="Arial"/>
          <w:color w:val="000000"/>
          <w:szCs w:val="18"/>
        </w:rPr>
        <w:t xml:space="preserve">the </w:t>
      </w:r>
      <w:r w:rsidRPr="00CD5E36">
        <w:rPr>
          <w:rFonts w:ascii="Arial" w:hAnsi="Arial" w:cs="Arial"/>
          <w:color w:val="000000"/>
          <w:szCs w:val="18"/>
        </w:rPr>
        <w:t>risk from Somalia</w:t>
      </w:r>
      <w:r w:rsidR="004C78FD" w:rsidRPr="00CD5E36">
        <w:rPr>
          <w:rFonts w:ascii="Arial" w:hAnsi="Arial" w:cs="Arial"/>
          <w:color w:val="000000"/>
          <w:szCs w:val="18"/>
        </w:rPr>
        <w:t>-</w:t>
      </w:r>
      <w:r w:rsidRPr="00CD5E36">
        <w:rPr>
          <w:rFonts w:ascii="Arial" w:hAnsi="Arial" w:cs="Arial"/>
          <w:color w:val="000000"/>
          <w:szCs w:val="18"/>
        </w:rPr>
        <w:t>based pirates</w:t>
      </w:r>
      <w:r w:rsidR="00626654" w:rsidRPr="00CD5E36">
        <w:rPr>
          <w:rFonts w:ascii="Arial" w:hAnsi="Arial" w:cs="Arial"/>
          <w:color w:val="000000"/>
          <w:szCs w:val="18"/>
        </w:rPr>
        <w:t xml:space="preserve"> operating at range cannot be completely discounted</w:t>
      </w:r>
      <w:r w:rsidR="00210617" w:rsidRPr="00CD5E36">
        <w:rPr>
          <w:rFonts w:ascii="Arial" w:hAnsi="Arial" w:cs="Arial"/>
          <w:color w:val="000000"/>
          <w:szCs w:val="18"/>
        </w:rPr>
        <w:t xml:space="preserve"> and </w:t>
      </w:r>
      <w:r w:rsidRPr="00CD5E36">
        <w:rPr>
          <w:rFonts w:ascii="Arial" w:hAnsi="Arial" w:cs="Arial"/>
          <w:color w:val="000000"/>
          <w:szCs w:val="18"/>
        </w:rPr>
        <w:t xml:space="preserve">an increased </w:t>
      </w:r>
      <w:r w:rsidR="00C43E29" w:rsidRPr="00CD5E36">
        <w:rPr>
          <w:rFonts w:ascii="Arial" w:hAnsi="Arial" w:cs="Arial"/>
          <w:color w:val="000000"/>
          <w:szCs w:val="18"/>
        </w:rPr>
        <w:t xml:space="preserve">state of readiness and vigilance </w:t>
      </w:r>
      <w:r w:rsidR="00210617" w:rsidRPr="00CD5E36">
        <w:rPr>
          <w:rFonts w:ascii="Arial" w:hAnsi="Arial" w:cs="Arial"/>
          <w:color w:val="000000"/>
          <w:szCs w:val="18"/>
        </w:rPr>
        <w:t xml:space="preserve">may therefore be required within the </w:t>
      </w:r>
      <w:r w:rsidR="00C62CC2" w:rsidRPr="00CD5E36">
        <w:rPr>
          <w:rFonts w:ascii="Arial" w:hAnsi="Arial" w:cs="Arial"/>
          <w:color w:val="000000"/>
          <w:szCs w:val="18"/>
        </w:rPr>
        <w:t>VRA in accordance with individual ship voyage risk assessments which remain the cornerstone of this guidance</w:t>
      </w:r>
      <w:r w:rsidR="00C43E29" w:rsidRPr="00CD5E36">
        <w:rPr>
          <w:rFonts w:ascii="Arial" w:hAnsi="Arial" w:cs="Arial"/>
          <w:color w:val="000000"/>
          <w:szCs w:val="18"/>
        </w:rPr>
        <w:t>.</w:t>
      </w:r>
    </w:p>
    <w:p w14:paraId="61CEBF6C" w14:textId="77777777" w:rsidR="00C43E29" w:rsidRPr="00CD5E36" w:rsidRDefault="00C43E29" w:rsidP="00C43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D73A6"/>
          <w:szCs w:val="18"/>
        </w:rPr>
      </w:pPr>
    </w:p>
    <w:p w14:paraId="53927BF5" w14:textId="1CD7E6CB" w:rsidR="00C43E29" w:rsidRPr="00CD5E36" w:rsidRDefault="00C43E29" w:rsidP="00C43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18"/>
        </w:rPr>
      </w:pPr>
      <w:r w:rsidRPr="00CD5E36">
        <w:rPr>
          <w:rFonts w:ascii="Arial" w:hAnsi="Arial" w:cs="Arial"/>
          <w:bCs/>
          <w:color w:val="0D73A6"/>
          <w:szCs w:val="18"/>
        </w:rPr>
        <w:t>2.</w:t>
      </w:r>
      <w:r w:rsidR="00B554E8" w:rsidRPr="00CD5E36">
        <w:rPr>
          <w:rFonts w:ascii="Arial" w:hAnsi="Arial" w:cs="Arial"/>
          <w:bCs/>
          <w:color w:val="0D73A6"/>
          <w:szCs w:val="18"/>
        </w:rPr>
        <w:t>2</w:t>
      </w:r>
      <w:r w:rsidRPr="00CD5E36">
        <w:rPr>
          <w:rFonts w:ascii="Arial" w:hAnsi="Arial" w:cs="Arial"/>
          <w:bCs/>
          <w:color w:val="0D73A6"/>
          <w:szCs w:val="18"/>
        </w:rPr>
        <w:t xml:space="preserve"> </w:t>
      </w:r>
      <w:r w:rsidRPr="00CD5E36">
        <w:rPr>
          <w:rFonts w:ascii="Arial" w:hAnsi="Arial" w:cs="Arial"/>
          <w:color w:val="000000"/>
          <w:szCs w:val="18"/>
        </w:rPr>
        <w:t xml:space="preserve">It is important the latest information on the location of where pirates are operating is </w:t>
      </w:r>
      <w:r w:rsidR="00626654" w:rsidRPr="00CD5E36">
        <w:rPr>
          <w:rFonts w:ascii="Arial" w:hAnsi="Arial" w:cs="Arial"/>
          <w:color w:val="000000"/>
          <w:szCs w:val="18"/>
        </w:rPr>
        <w:t>obtained from MSCHOA</w:t>
      </w:r>
      <w:r w:rsidR="00BC2AAA">
        <w:rPr>
          <w:rFonts w:ascii="Arial" w:hAnsi="Arial" w:cs="Arial"/>
          <w:color w:val="000000"/>
          <w:szCs w:val="18"/>
        </w:rPr>
        <w:t>,</w:t>
      </w:r>
      <w:r w:rsidR="00626654" w:rsidRPr="00CD5E36">
        <w:rPr>
          <w:rFonts w:ascii="Arial" w:hAnsi="Arial" w:cs="Arial"/>
          <w:color w:val="000000"/>
          <w:szCs w:val="18"/>
        </w:rPr>
        <w:t xml:space="preserve"> UKMTO </w:t>
      </w:r>
      <w:r w:rsidR="00BC2AAA">
        <w:rPr>
          <w:rFonts w:ascii="Arial" w:hAnsi="Arial" w:cs="Arial"/>
          <w:color w:val="000000"/>
          <w:szCs w:val="18"/>
        </w:rPr>
        <w:t xml:space="preserve">and NATO Shipping Centre </w:t>
      </w:r>
      <w:r w:rsidR="0084005C" w:rsidRPr="00CD5E36">
        <w:rPr>
          <w:rFonts w:ascii="Arial" w:hAnsi="Arial" w:cs="Arial"/>
          <w:color w:val="000000"/>
          <w:szCs w:val="18"/>
        </w:rPr>
        <w:t>prior to completing the voyage risk assessment. (See contact details at Annex A) and before entering the VRA</w:t>
      </w:r>
      <w:r w:rsidRPr="00CD5E36">
        <w:rPr>
          <w:rFonts w:ascii="Arial" w:hAnsi="Arial" w:cs="Arial"/>
          <w:color w:val="000000"/>
          <w:szCs w:val="18"/>
        </w:rPr>
        <w:t>. It is also important</w:t>
      </w:r>
      <w:r w:rsidR="00723C06" w:rsidRPr="00CD5E36">
        <w:rPr>
          <w:rFonts w:ascii="Arial" w:hAnsi="Arial" w:cs="Arial"/>
          <w:color w:val="000000"/>
          <w:szCs w:val="18"/>
        </w:rPr>
        <w:t xml:space="preserve"> </w:t>
      </w:r>
      <w:r w:rsidRPr="00CD5E36">
        <w:rPr>
          <w:rFonts w:ascii="Arial" w:hAnsi="Arial" w:cs="Arial"/>
          <w:color w:val="000000"/>
          <w:szCs w:val="18"/>
        </w:rPr>
        <w:t xml:space="preserve">vessels are prepared to alter course at short notice to avoid pirate activity when information is provided by NAV WARNINGS and/or Naval/ Military forces. Weather can also constitute an obstacle to pirates and can be considered a factor when planning a route through the </w:t>
      </w:r>
      <w:r w:rsidR="00B23CF7" w:rsidRPr="00CD5E36">
        <w:rPr>
          <w:rFonts w:ascii="Arial" w:hAnsi="Arial" w:cs="Arial"/>
          <w:color w:val="000000"/>
          <w:szCs w:val="18"/>
        </w:rPr>
        <w:t>Voluntary Reporting Area</w:t>
      </w:r>
      <w:r w:rsidR="00D802ED" w:rsidRPr="00CD5E36">
        <w:rPr>
          <w:rFonts w:ascii="Arial" w:hAnsi="Arial" w:cs="Arial"/>
          <w:color w:val="000000"/>
          <w:szCs w:val="18"/>
        </w:rPr>
        <w:t xml:space="preserve"> and High Risk Area</w:t>
      </w:r>
      <w:r w:rsidR="007A6966" w:rsidRPr="00CD5E36">
        <w:rPr>
          <w:rFonts w:ascii="Arial" w:hAnsi="Arial" w:cs="Arial"/>
          <w:color w:val="000000"/>
          <w:szCs w:val="18"/>
        </w:rPr>
        <w:t xml:space="preserve"> itself</w:t>
      </w:r>
      <w:r w:rsidRPr="00CD5E36">
        <w:rPr>
          <w:rFonts w:ascii="Arial" w:hAnsi="Arial" w:cs="Arial"/>
          <w:color w:val="000000"/>
          <w:szCs w:val="18"/>
        </w:rPr>
        <w:t xml:space="preserve">. </w:t>
      </w:r>
      <w:r w:rsidR="00B23CF7" w:rsidRPr="00CD5E36">
        <w:rPr>
          <w:rFonts w:ascii="Arial" w:hAnsi="Arial" w:cs="Arial"/>
          <w:color w:val="000000"/>
          <w:szCs w:val="18"/>
        </w:rPr>
        <w:t xml:space="preserve">  </w:t>
      </w:r>
    </w:p>
    <w:p w14:paraId="35AA4B28" w14:textId="77777777" w:rsidR="00C43E29" w:rsidRPr="00CD5E36" w:rsidRDefault="00C43E29" w:rsidP="00C43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18"/>
        </w:rPr>
      </w:pPr>
    </w:p>
    <w:p w14:paraId="61121F9C" w14:textId="49323CFC" w:rsidR="00825ADE" w:rsidRPr="00CD5E36" w:rsidRDefault="00C43E29" w:rsidP="00C43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18"/>
        </w:rPr>
      </w:pPr>
      <w:r w:rsidRPr="00CD5E36">
        <w:rPr>
          <w:rFonts w:ascii="Arial" w:hAnsi="Arial" w:cs="Arial"/>
          <w:bCs/>
          <w:color w:val="0D73A6"/>
          <w:szCs w:val="18"/>
        </w:rPr>
        <w:t>2.</w:t>
      </w:r>
      <w:r w:rsidR="00B554E8" w:rsidRPr="00CD5E36">
        <w:rPr>
          <w:rFonts w:ascii="Arial" w:hAnsi="Arial" w:cs="Arial"/>
          <w:bCs/>
          <w:color w:val="0D73A6"/>
          <w:szCs w:val="18"/>
        </w:rPr>
        <w:t>3</w:t>
      </w:r>
      <w:r w:rsidRPr="00CD5E36">
        <w:rPr>
          <w:rFonts w:ascii="Arial" w:hAnsi="Arial" w:cs="Arial"/>
          <w:bCs/>
          <w:color w:val="0D73A6"/>
          <w:szCs w:val="18"/>
        </w:rPr>
        <w:t xml:space="preserve"> </w:t>
      </w:r>
      <w:r w:rsidRPr="00CD5E36">
        <w:rPr>
          <w:rFonts w:ascii="Arial" w:hAnsi="Arial" w:cs="Arial"/>
          <w:color w:val="000000"/>
          <w:szCs w:val="18"/>
        </w:rPr>
        <w:t xml:space="preserve">It is strongly recommended that </w:t>
      </w:r>
      <w:r w:rsidR="00714BAB" w:rsidRPr="00CD5E36">
        <w:rPr>
          <w:rFonts w:ascii="Arial" w:hAnsi="Arial" w:cs="Arial"/>
          <w:color w:val="000000"/>
          <w:szCs w:val="18"/>
        </w:rPr>
        <w:t xml:space="preserve">effective </w:t>
      </w:r>
      <w:r w:rsidRPr="00CD5E36">
        <w:rPr>
          <w:rFonts w:ascii="Arial" w:hAnsi="Arial" w:cs="Arial"/>
          <w:color w:val="000000"/>
          <w:szCs w:val="18"/>
        </w:rPr>
        <w:t>BMP</w:t>
      </w:r>
      <w:r w:rsidR="00714BAB" w:rsidRPr="00CD5E36">
        <w:rPr>
          <w:rFonts w:ascii="Arial" w:hAnsi="Arial" w:cs="Arial"/>
          <w:color w:val="000000"/>
          <w:szCs w:val="18"/>
        </w:rPr>
        <w:t xml:space="preserve"> measures are</w:t>
      </w:r>
      <w:r w:rsidR="007A6966" w:rsidRPr="00CD5E36">
        <w:rPr>
          <w:rFonts w:ascii="Arial" w:hAnsi="Arial" w:cs="Arial"/>
          <w:color w:val="000000"/>
          <w:szCs w:val="18"/>
        </w:rPr>
        <w:t xml:space="preserve"> implemented</w:t>
      </w:r>
      <w:r w:rsidR="00714BAB" w:rsidRPr="00CD5E36">
        <w:rPr>
          <w:rFonts w:ascii="Arial" w:hAnsi="Arial" w:cs="Arial"/>
          <w:color w:val="000000"/>
          <w:szCs w:val="18"/>
        </w:rPr>
        <w:t xml:space="preserve"> as and </w:t>
      </w:r>
      <w:r w:rsidR="00B42573" w:rsidRPr="00CD5E36">
        <w:rPr>
          <w:rFonts w:ascii="Arial" w:hAnsi="Arial" w:cs="Arial"/>
          <w:color w:val="000000"/>
          <w:szCs w:val="18"/>
        </w:rPr>
        <w:t>where the</w:t>
      </w:r>
      <w:r w:rsidR="00714BAB" w:rsidRPr="00CD5E36">
        <w:rPr>
          <w:rFonts w:ascii="Arial" w:hAnsi="Arial" w:cs="Arial"/>
          <w:color w:val="000000"/>
          <w:szCs w:val="18"/>
        </w:rPr>
        <w:t xml:space="preserve"> risk assessment indicates their necessity</w:t>
      </w:r>
      <w:r w:rsidRPr="00CD5E36">
        <w:rPr>
          <w:rFonts w:ascii="Arial" w:hAnsi="Arial" w:cs="Arial"/>
          <w:color w:val="000000"/>
          <w:szCs w:val="18"/>
        </w:rPr>
        <w:t>.</w:t>
      </w:r>
      <w:r w:rsidR="00714BAB" w:rsidRPr="00CD5E36">
        <w:rPr>
          <w:rFonts w:ascii="Arial" w:hAnsi="Arial" w:cs="Arial"/>
          <w:color w:val="000000"/>
          <w:szCs w:val="18"/>
        </w:rPr>
        <w:t xml:space="preserve"> </w:t>
      </w:r>
    </w:p>
    <w:p w14:paraId="0F539AF6" w14:textId="77777777" w:rsidR="00825ADE" w:rsidRPr="00CD5E36" w:rsidRDefault="00825ADE">
      <w:pPr>
        <w:rPr>
          <w:rFonts w:ascii="Arial" w:hAnsi="Arial" w:cs="Arial"/>
          <w:color w:val="000000"/>
          <w:szCs w:val="18"/>
        </w:rPr>
      </w:pPr>
      <w:r w:rsidRPr="00CD5E36">
        <w:rPr>
          <w:rFonts w:ascii="Arial" w:hAnsi="Arial" w:cs="Arial"/>
          <w:color w:val="000000"/>
          <w:szCs w:val="18"/>
        </w:rPr>
        <w:br w:type="page"/>
      </w:r>
    </w:p>
    <w:p w14:paraId="156C8971" w14:textId="77777777" w:rsidR="00C43E29" w:rsidRPr="00CD5E36" w:rsidRDefault="00825ADE" w:rsidP="00CD5E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CD5E36">
        <w:rPr>
          <w:rFonts w:ascii="Arial" w:hAnsi="Arial" w:cs="Arial"/>
          <w:sz w:val="24"/>
          <w:szCs w:val="24"/>
          <w:u w:val="single"/>
        </w:rPr>
        <w:lastRenderedPageBreak/>
        <w:t>Supporting Guidance</w:t>
      </w:r>
    </w:p>
    <w:p w14:paraId="7FE15EC2" w14:textId="77777777" w:rsidR="00825ADE" w:rsidRPr="00CD5E36" w:rsidRDefault="00825ADE" w:rsidP="00CD5E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3FD26DA" w14:textId="6B0A636B" w:rsidR="00825ADE" w:rsidRDefault="00825ADE" w:rsidP="00CD5E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D5E36">
        <w:rPr>
          <w:rFonts w:ascii="Arial" w:hAnsi="Arial" w:cs="Arial"/>
          <w:sz w:val="24"/>
          <w:szCs w:val="24"/>
        </w:rPr>
        <w:t xml:space="preserve">To avoid confusion the following guidance is offered on the implementation of BMP in light of the </w:t>
      </w:r>
      <w:r w:rsidR="00B42573" w:rsidRPr="00CD5E36">
        <w:rPr>
          <w:rFonts w:ascii="Arial" w:hAnsi="Arial" w:cs="Arial"/>
          <w:sz w:val="24"/>
          <w:szCs w:val="24"/>
        </w:rPr>
        <w:t xml:space="preserve">geographic </w:t>
      </w:r>
      <w:r w:rsidRPr="00CD5E36">
        <w:rPr>
          <w:rFonts w:ascii="Arial" w:hAnsi="Arial" w:cs="Arial"/>
          <w:sz w:val="24"/>
          <w:szCs w:val="24"/>
        </w:rPr>
        <w:t>change to the HRA as defined in BMP 4:</w:t>
      </w:r>
    </w:p>
    <w:p w14:paraId="37E61FBE" w14:textId="77777777" w:rsidR="00CD5E36" w:rsidRPr="00CD5E36" w:rsidRDefault="00CD5E36" w:rsidP="00CD5E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1C81BBD" w14:textId="77777777" w:rsidR="00825ADE" w:rsidRDefault="00825ADE" w:rsidP="00CD5E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CD5E36">
        <w:rPr>
          <w:rFonts w:ascii="Arial" w:hAnsi="Arial" w:cs="Arial"/>
          <w:sz w:val="24"/>
          <w:szCs w:val="24"/>
        </w:rPr>
        <w:t>The three fundamental requirements of BMP – Register at MSCHOA, Report to UKMTO, Implement SPMS remain unchanged;</w:t>
      </w:r>
    </w:p>
    <w:p w14:paraId="424DEE78" w14:textId="77777777" w:rsidR="00CD5E36" w:rsidRPr="00CD5E36" w:rsidRDefault="00CD5E36" w:rsidP="00CD5E36">
      <w:pPr>
        <w:pStyle w:val="ListParagraph"/>
        <w:autoSpaceDE w:val="0"/>
        <w:autoSpaceDN w:val="0"/>
        <w:adjustRightInd w:val="0"/>
        <w:spacing w:after="0" w:line="240" w:lineRule="auto"/>
        <w:ind w:left="714"/>
        <w:rPr>
          <w:rFonts w:ascii="Arial" w:hAnsi="Arial" w:cs="Arial"/>
          <w:sz w:val="24"/>
          <w:szCs w:val="24"/>
        </w:rPr>
      </w:pPr>
    </w:p>
    <w:p w14:paraId="14DCF163" w14:textId="0894FFED" w:rsidR="00825ADE" w:rsidRPr="00CD5E36" w:rsidRDefault="00825ADE" w:rsidP="00CD5E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CD5E36">
        <w:rPr>
          <w:rFonts w:ascii="Arial" w:hAnsi="Arial" w:cs="Arial"/>
          <w:sz w:val="24"/>
          <w:szCs w:val="24"/>
        </w:rPr>
        <w:t>The pre-transit risk assessment</w:t>
      </w:r>
      <w:r w:rsidR="00B7442A" w:rsidRPr="00CD5E36">
        <w:rPr>
          <w:rFonts w:ascii="Arial" w:hAnsi="Arial" w:cs="Arial"/>
          <w:sz w:val="24"/>
          <w:szCs w:val="24"/>
        </w:rPr>
        <w:t xml:space="preserve"> in accordance with section 3 of BMP 4</w:t>
      </w:r>
      <w:r w:rsidRPr="00CD5E36">
        <w:rPr>
          <w:rFonts w:ascii="Arial" w:hAnsi="Arial" w:cs="Arial"/>
          <w:sz w:val="24"/>
          <w:szCs w:val="24"/>
        </w:rPr>
        <w:t xml:space="preserve"> remains </w:t>
      </w:r>
      <w:r w:rsidR="00B42573" w:rsidRPr="00CD5E36">
        <w:rPr>
          <w:rFonts w:ascii="Arial" w:hAnsi="Arial" w:cs="Arial"/>
          <w:sz w:val="24"/>
          <w:szCs w:val="24"/>
        </w:rPr>
        <w:t>essential</w:t>
      </w:r>
      <w:r w:rsidRPr="00CD5E36">
        <w:rPr>
          <w:rFonts w:ascii="Arial" w:hAnsi="Arial" w:cs="Arial"/>
          <w:sz w:val="24"/>
          <w:szCs w:val="24"/>
        </w:rPr>
        <w:t xml:space="preserve"> to </w:t>
      </w:r>
      <w:r w:rsidR="00B7442A" w:rsidRPr="00CD5E36">
        <w:rPr>
          <w:rFonts w:ascii="Arial" w:hAnsi="Arial" w:cs="Arial"/>
          <w:sz w:val="24"/>
          <w:szCs w:val="24"/>
        </w:rPr>
        <w:t xml:space="preserve">the </w:t>
      </w:r>
      <w:r w:rsidRPr="00CD5E36">
        <w:rPr>
          <w:rFonts w:ascii="Arial" w:hAnsi="Arial" w:cs="Arial"/>
          <w:sz w:val="24"/>
          <w:szCs w:val="24"/>
        </w:rPr>
        <w:t>safety</w:t>
      </w:r>
      <w:r w:rsidR="00B7442A" w:rsidRPr="00CD5E36">
        <w:rPr>
          <w:rFonts w:ascii="Arial" w:hAnsi="Arial" w:cs="Arial"/>
          <w:sz w:val="24"/>
          <w:szCs w:val="24"/>
        </w:rPr>
        <w:t xml:space="preserve"> of a ship and its crew</w:t>
      </w:r>
      <w:r w:rsidRPr="00CD5E36">
        <w:rPr>
          <w:rFonts w:ascii="Arial" w:hAnsi="Arial" w:cs="Arial"/>
          <w:sz w:val="24"/>
          <w:szCs w:val="24"/>
        </w:rPr>
        <w:t>;</w:t>
      </w:r>
    </w:p>
    <w:p w14:paraId="42C24464" w14:textId="77777777" w:rsidR="00CD5E36" w:rsidRDefault="00CD5E36" w:rsidP="00CD5E36">
      <w:pPr>
        <w:pStyle w:val="ListParagraph"/>
        <w:autoSpaceDE w:val="0"/>
        <w:autoSpaceDN w:val="0"/>
        <w:adjustRightInd w:val="0"/>
        <w:spacing w:after="0" w:line="240" w:lineRule="auto"/>
        <w:ind w:left="714"/>
        <w:rPr>
          <w:rFonts w:ascii="Arial" w:hAnsi="Arial" w:cs="Arial"/>
          <w:sz w:val="24"/>
          <w:szCs w:val="24"/>
        </w:rPr>
      </w:pPr>
    </w:p>
    <w:p w14:paraId="7B2520A1" w14:textId="572AEAE8" w:rsidR="00825ADE" w:rsidRPr="00CD5E36" w:rsidRDefault="00825ADE" w:rsidP="00CD5E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CD5E36">
        <w:rPr>
          <w:rFonts w:ascii="Arial" w:hAnsi="Arial" w:cs="Arial"/>
          <w:sz w:val="24"/>
          <w:szCs w:val="24"/>
        </w:rPr>
        <w:t xml:space="preserve">Military Threat Assessments through SHADE indicate pirates are capable of attacking at range.  </w:t>
      </w:r>
    </w:p>
    <w:p w14:paraId="31C67F27" w14:textId="77777777" w:rsidR="00CD5E36" w:rsidRDefault="00CD5E36" w:rsidP="00CD5E36">
      <w:pPr>
        <w:pStyle w:val="ListParagraph"/>
        <w:autoSpaceDE w:val="0"/>
        <w:autoSpaceDN w:val="0"/>
        <w:adjustRightInd w:val="0"/>
        <w:spacing w:after="0" w:line="240" w:lineRule="auto"/>
        <w:ind w:left="714"/>
        <w:rPr>
          <w:rFonts w:ascii="Arial" w:hAnsi="Arial" w:cs="Arial"/>
          <w:sz w:val="24"/>
          <w:szCs w:val="24"/>
        </w:rPr>
      </w:pPr>
    </w:p>
    <w:p w14:paraId="5A61AD22" w14:textId="10648E4D" w:rsidR="00825ADE" w:rsidRPr="00CD5E36" w:rsidRDefault="00825ADE" w:rsidP="00CD5E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CD5E36">
        <w:rPr>
          <w:rFonts w:ascii="Arial" w:hAnsi="Arial" w:cs="Arial"/>
          <w:sz w:val="24"/>
          <w:szCs w:val="24"/>
        </w:rPr>
        <w:t xml:space="preserve">The pre transit risk assessment should therefore consider both the situation in the VRA as well as the HRA, taking into account current advice from UKMTO, MSCHOA, </w:t>
      </w:r>
      <w:r w:rsidR="001015F5">
        <w:rPr>
          <w:rFonts w:ascii="Arial" w:hAnsi="Arial" w:cs="Arial"/>
          <w:sz w:val="24"/>
          <w:szCs w:val="24"/>
        </w:rPr>
        <w:t xml:space="preserve">NATO Shipping Centre, </w:t>
      </w:r>
      <w:bookmarkStart w:id="0" w:name="_GoBack"/>
      <w:bookmarkEnd w:id="0"/>
      <w:r w:rsidRPr="00CD5E36">
        <w:rPr>
          <w:rFonts w:ascii="Arial" w:hAnsi="Arial" w:cs="Arial"/>
          <w:sz w:val="24"/>
          <w:szCs w:val="24"/>
        </w:rPr>
        <w:t>Coastal States and relevant NAV warnings;</w:t>
      </w:r>
    </w:p>
    <w:p w14:paraId="2708D84E" w14:textId="77777777" w:rsidR="00CD5E36" w:rsidRDefault="00CD5E36" w:rsidP="00CD5E36">
      <w:pPr>
        <w:pStyle w:val="ListParagraph"/>
        <w:autoSpaceDE w:val="0"/>
        <w:autoSpaceDN w:val="0"/>
        <w:spacing w:after="0" w:line="240" w:lineRule="auto"/>
        <w:ind w:left="714"/>
        <w:contextualSpacing w:val="0"/>
        <w:rPr>
          <w:rFonts w:ascii="Arial" w:hAnsi="Arial" w:cs="Arial"/>
          <w:color w:val="000000"/>
          <w:sz w:val="24"/>
          <w:szCs w:val="24"/>
        </w:rPr>
      </w:pPr>
    </w:p>
    <w:p w14:paraId="3B18EF76" w14:textId="77777777" w:rsidR="00BB2CC6" w:rsidRPr="00CD5E36" w:rsidRDefault="00BB2CC6" w:rsidP="00CD5E36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ind w:left="714" w:hanging="357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CD5E36">
        <w:rPr>
          <w:rFonts w:ascii="Arial" w:hAnsi="Arial" w:cs="Arial"/>
          <w:color w:val="000000"/>
          <w:sz w:val="24"/>
          <w:szCs w:val="24"/>
        </w:rPr>
        <w:t xml:space="preserve">The MSCHOA Vessel Registration area remains </w:t>
      </w:r>
      <w:r w:rsidRPr="00CD5E36">
        <w:rPr>
          <w:rFonts w:ascii="Arial" w:hAnsi="Arial" w:cs="Arial"/>
          <w:b/>
          <w:bCs/>
          <w:color w:val="000000"/>
          <w:sz w:val="24"/>
          <w:szCs w:val="24"/>
        </w:rPr>
        <w:t>unchanged</w:t>
      </w:r>
      <w:r w:rsidRPr="00CD5E36">
        <w:rPr>
          <w:rFonts w:ascii="Arial" w:hAnsi="Arial" w:cs="Arial"/>
          <w:color w:val="000000"/>
          <w:sz w:val="24"/>
          <w:szCs w:val="24"/>
        </w:rPr>
        <w:t xml:space="preserve"> and is still bounded by the Strait of Hormuz and Suez to the North, 10S and 78E. All Vessel movements should be registered with MSCHOA, even if the vessel </w:t>
      </w:r>
      <w:r w:rsidRPr="00CD5E36">
        <w:rPr>
          <w:rFonts w:ascii="Arial" w:hAnsi="Arial" w:cs="Arial"/>
          <w:b/>
          <w:bCs/>
          <w:color w:val="000000"/>
          <w:sz w:val="24"/>
          <w:szCs w:val="24"/>
        </w:rPr>
        <w:t>does not</w:t>
      </w:r>
      <w:r w:rsidRPr="00CD5E36">
        <w:rPr>
          <w:rFonts w:ascii="Arial" w:hAnsi="Arial" w:cs="Arial"/>
          <w:color w:val="000000"/>
          <w:sz w:val="24"/>
          <w:szCs w:val="24"/>
        </w:rPr>
        <w:t xml:space="preserve"> enter the modified HRA. </w:t>
      </w:r>
    </w:p>
    <w:p w14:paraId="195EF9B6" w14:textId="77777777" w:rsidR="00CD5E36" w:rsidRDefault="00CD5E36" w:rsidP="00CD5E36">
      <w:pPr>
        <w:pStyle w:val="ListParagraph"/>
        <w:autoSpaceDE w:val="0"/>
        <w:autoSpaceDN w:val="0"/>
        <w:spacing w:after="0" w:line="240" w:lineRule="auto"/>
        <w:contextualSpacing w:val="0"/>
        <w:rPr>
          <w:rFonts w:ascii="Arial" w:hAnsi="Arial" w:cs="Arial"/>
          <w:color w:val="000000"/>
          <w:sz w:val="24"/>
          <w:szCs w:val="24"/>
        </w:rPr>
      </w:pPr>
    </w:p>
    <w:p w14:paraId="1F5BCA92" w14:textId="77777777" w:rsidR="00BB2CC6" w:rsidRPr="00CD5E36" w:rsidRDefault="00BB2CC6" w:rsidP="00CD5E36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CD5E36">
        <w:rPr>
          <w:rFonts w:ascii="Arial" w:hAnsi="Arial" w:cs="Arial"/>
          <w:color w:val="000000"/>
          <w:sz w:val="24"/>
          <w:szCs w:val="24"/>
        </w:rPr>
        <w:t>Any reference in BMP4 stating that a Vessel should register with MSCHOA prior to entering the HRA is now superseded by the bullet above.</w:t>
      </w:r>
    </w:p>
    <w:p w14:paraId="6B9E78A2" w14:textId="77777777" w:rsidR="00CD5E36" w:rsidRDefault="00CD5E36" w:rsidP="00CD5E36">
      <w:pPr>
        <w:pStyle w:val="ListParagraph"/>
        <w:autoSpaceDE w:val="0"/>
        <w:autoSpaceDN w:val="0"/>
        <w:spacing w:after="0" w:line="240" w:lineRule="auto"/>
        <w:contextualSpacing w:val="0"/>
        <w:rPr>
          <w:rFonts w:ascii="Arial" w:hAnsi="Arial" w:cs="Arial"/>
          <w:color w:val="000000"/>
          <w:sz w:val="24"/>
          <w:szCs w:val="24"/>
        </w:rPr>
      </w:pPr>
    </w:p>
    <w:p w14:paraId="36A76067" w14:textId="77777777" w:rsidR="00BB2CC6" w:rsidRPr="00CD5E36" w:rsidRDefault="00BB2CC6" w:rsidP="00CD5E36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CD5E36">
        <w:rPr>
          <w:rFonts w:ascii="Arial" w:hAnsi="Arial" w:cs="Arial"/>
          <w:color w:val="000000"/>
          <w:sz w:val="24"/>
          <w:szCs w:val="24"/>
        </w:rPr>
        <w:t>There is only a requirement to register with MSCHOA once.</w:t>
      </w:r>
    </w:p>
    <w:p w14:paraId="3986BD90" w14:textId="77777777" w:rsidR="00CD5E36" w:rsidRDefault="00CD5E36" w:rsidP="00CD5E3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03BD9E0" w14:textId="57F98CE3" w:rsidR="00825ADE" w:rsidRPr="00CD5E36" w:rsidRDefault="00825ADE" w:rsidP="00CD5E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D5E36">
        <w:rPr>
          <w:rFonts w:ascii="Arial" w:hAnsi="Arial" w:cs="Arial"/>
          <w:sz w:val="24"/>
          <w:szCs w:val="24"/>
        </w:rPr>
        <w:t xml:space="preserve">The </w:t>
      </w:r>
      <w:r w:rsidR="006A7B9E" w:rsidRPr="00CD5E36">
        <w:rPr>
          <w:rFonts w:ascii="Arial" w:hAnsi="Arial" w:cs="Arial"/>
          <w:sz w:val="24"/>
          <w:szCs w:val="24"/>
        </w:rPr>
        <w:t xml:space="preserve">output of the </w:t>
      </w:r>
      <w:r w:rsidRPr="00CD5E36">
        <w:rPr>
          <w:rFonts w:ascii="Arial" w:hAnsi="Arial" w:cs="Arial"/>
          <w:sz w:val="24"/>
          <w:szCs w:val="24"/>
        </w:rPr>
        <w:t xml:space="preserve">Risk Assessment will determine what appropriate </w:t>
      </w:r>
      <w:r w:rsidR="00525016" w:rsidRPr="00CD5E36">
        <w:rPr>
          <w:rFonts w:ascii="Arial" w:hAnsi="Arial" w:cs="Arial"/>
          <w:sz w:val="24"/>
          <w:szCs w:val="24"/>
        </w:rPr>
        <w:t>self-</w:t>
      </w:r>
      <w:r w:rsidRPr="00CD5E36">
        <w:rPr>
          <w:rFonts w:ascii="Arial" w:hAnsi="Arial" w:cs="Arial"/>
          <w:sz w:val="24"/>
          <w:szCs w:val="24"/>
        </w:rPr>
        <w:t>protective measures are required</w:t>
      </w:r>
      <w:r w:rsidR="00DB1EC6" w:rsidRPr="00CD5E36">
        <w:rPr>
          <w:rFonts w:ascii="Arial" w:hAnsi="Arial" w:cs="Arial"/>
          <w:sz w:val="24"/>
          <w:szCs w:val="24"/>
        </w:rPr>
        <w:t xml:space="preserve"> </w:t>
      </w:r>
      <w:r w:rsidRPr="00CD5E36">
        <w:rPr>
          <w:rFonts w:ascii="Arial" w:hAnsi="Arial" w:cs="Arial"/>
          <w:sz w:val="24"/>
          <w:szCs w:val="24"/>
        </w:rPr>
        <w:t>and when and where they should be applied.  It should be noted that SPMs are likely to be required in the HRA for most vessels.</w:t>
      </w:r>
    </w:p>
    <w:p w14:paraId="01230792" w14:textId="77777777" w:rsidR="00CD5E36" w:rsidRDefault="00CD5E36" w:rsidP="00CD5E3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224F20" w14:textId="77777777" w:rsidR="00026512" w:rsidRPr="00CD5E36" w:rsidRDefault="00026512" w:rsidP="00CD5E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D5E36">
        <w:rPr>
          <w:rFonts w:ascii="Arial" w:hAnsi="Arial" w:cs="Arial"/>
          <w:sz w:val="24"/>
          <w:szCs w:val="24"/>
        </w:rPr>
        <w:t xml:space="preserve">The table below provides guidance on the specific application of actions by the Company and Ships master </w:t>
      </w:r>
      <w:r w:rsidR="00000B29" w:rsidRPr="00CD5E36">
        <w:rPr>
          <w:rFonts w:ascii="Arial" w:hAnsi="Arial" w:cs="Arial"/>
          <w:sz w:val="24"/>
          <w:szCs w:val="24"/>
        </w:rPr>
        <w:t>in the VRA and HRA in accordance with the new definition.</w:t>
      </w:r>
      <w:r w:rsidRPr="00CD5E36">
        <w:rPr>
          <w:rFonts w:ascii="Arial" w:hAnsi="Arial" w:cs="Arial"/>
          <w:sz w:val="24"/>
          <w:szCs w:val="24"/>
        </w:rPr>
        <w:t xml:space="preserve"> </w:t>
      </w:r>
    </w:p>
    <w:p w14:paraId="16425612" w14:textId="77777777" w:rsidR="00026512" w:rsidRPr="00CD5E36" w:rsidRDefault="00026512">
      <w:pPr>
        <w:rPr>
          <w:rFonts w:ascii="Arial" w:hAnsi="Arial" w:cs="Arial"/>
          <w:sz w:val="24"/>
          <w:szCs w:val="24"/>
        </w:rPr>
      </w:pPr>
      <w:r w:rsidRPr="00CD5E36">
        <w:rPr>
          <w:rFonts w:ascii="Arial" w:hAnsi="Arial" w:cs="Arial"/>
          <w:sz w:val="24"/>
          <w:szCs w:val="24"/>
        </w:rPr>
        <w:br w:type="page"/>
      </w:r>
    </w:p>
    <w:p w14:paraId="09ECA30B" w14:textId="77777777" w:rsidR="00825ADE" w:rsidRPr="00CD5E36" w:rsidRDefault="00825ADE" w:rsidP="00C43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</w:rPr>
      </w:pPr>
    </w:p>
    <w:tbl>
      <w:tblPr>
        <w:tblStyle w:val="TableGrid"/>
        <w:tblpPr w:leftFromText="180" w:rightFromText="180" w:horzAnchor="margin" w:tblpY="720"/>
        <w:tblW w:w="0" w:type="auto"/>
        <w:tblLook w:val="04A0" w:firstRow="1" w:lastRow="0" w:firstColumn="1" w:lastColumn="0" w:noHBand="0" w:noVBand="1"/>
      </w:tblPr>
      <w:tblGrid>
        <w:gridCol w:w="4957"/>
        <w:gridCol w:w="1984"/>
        <w:gridCol w:w="2075"/>
      </w:tblGrid>
      <w:tr w:rsidR="00026512" w:rsidRPr="00CD5E36" w14:paraId="7CD8E22A" w14:textId="77777777" w:rsidTr="009B713B">
        <w:tc>
          <w:tcPr>
            <w:tcW w:w="4957" w:type="dxa"/>
          </w:tcPr>
          <w:p w14:paraId="5637A0CE" w14:textId="77777777" w:rsidR="00026512" w:rsidRPr="00CD5E36" w:rsidRDefault="00026512" w:rsidP="009B713B">
            <w:pPr>
              <w:rPr>
                <w:rFonts w:ascii="Arial" w:hAnsi="Arial" w:cs="Arial"/>
                <w:b/>
              </w:rPr>
            </w:pPr>
            <w:r w:rsidRPr="00CD5E36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1984" w:type="dxa"/>
          </w:tcPr>
          <w:p w14:paraId="2F20E770" w14:textId="77777777" w:rsidR="00026512" w:rsidRPr="00CD5E36" w:rsidRDefault="00026512" w:rsidP="00B26859">
            <w:pPr>
              <w:jc w:val="center"/>
              <w:rPr>
                <w:rFonts w:ascii="Arial" w:hAnsi="Arial" w:cs="Arial"/>
                <w:b/>
              </w:rPr>
            </w:pPr>
            <w:r w:rsidRPr="00CD5E36">
              <w:rPr>
                <w:rFonts w:ascii="Arial" w:hAnsi="Arial" w:cs="Arial"/>
                <w:b/>
              </w:rPr>
              <w:t>VRA</w:t>
            </w:r>
          </w:p>
        </w:tc>
        <w:tc>
          <w:tcPr>
            <w:tcW w:w="2075" w:type="dxa"/>
          </w:tcPr>
          <w:p w14:paraId="1C5B7D0B" w14:textId="77777777" w:rsidR="00026512" w:rsidRPr="00CD5E36" w:rsidRDefault="00026512" w:rsidP="00B26859">
            <w:pPr>
              <w:jc w:val="center"/>
              <w:rPr>
                <w:rFonts w:ascii="Arial" w:hAnsi="Arial" w:cs="Arial"/>
                <w:b/>
              </w:rPr>
            </w:pPr>
            <w:r w:rsidRPr="00CD5E36">
              <w:rPr>
                <w:rFonts w:ascii="Arial" w:hAnsi="Arial" w:cs="Arial"/>
                <w:b/>
              </w:rPr>
              <w:t>HRA</w:t>
            </w:r>
          </w:p>
        </w:tc>
      </w:tr>
      <w:tr w:rsidR="00026512" w:rsidRPr="00CD5E36" w14:paraId="09340976" w14:textId="77777777" w:rsidTr="009B713B">
        <w:tc>
          <w:tcPr>
            <w:tcW w:w="4957" w:type="dxa"/>
          </w:tcPr>
          <w:p w14:paraId="276956ED" w14:textId="77777777" w:rsidR="00026512" w:rsidRPr="00CD5E36" w:rsidRDefault="00026512" w:rsidP="009B713B">
            <w:pPr>
              <w:rPr>
                <w:rFonts w:ascii="Arial" w:hAnsi="Arial" w:cs="Arial"/>
              </w:rPr>
            </w:pPr>
            <w:r w:rsidRPr="00CD5E36">
              <w:rPr>
                <w:rFonts w:ascii="Arial" w:hAnsi="Arial" w:cs="Arial"/>
              </w:rPr>
              <w:t>6.1 – Register Ship with MSCHOA Website</w:t>
            </w:r>
          </w:p>
        </w:tc>
        <w:tc>
          <w:tcPr>
            <w:tcW w:w="1984" w:type="dxa"/>
          </w:tcPr>
          <w:p w14:paraId="0F388AB5" w14:textId="77777777" w:rsidR="00026512" w:rsidRPr="00CD5E36" w:rsidRDefault="00026512" w:rsidP="009B713B">
            <w:pPr>
              <w:jc w:val="center"/>
              <w:rPr>
                <w:rFonts w:ascii="Arial" w:hAnsi="Arial" w:cs="Arial"/>
              </w:rPr>
            </w:pPr>
            <w:r w:rsidRPr="00CD5E36">
              <w:rPr>
                <w:rFonts w:ascii="Arial" w:hAnsi="Arial" w:cs="Arial"/>
              </w:rPr>
              <w:t>YES</w:t>
            </w:r>
          </w:p>
        </w:tc>
        <w:tc>
          <w:tcPr>
            <w:tcW w:w="2075" w:type="dxa"/>
          </w:tcPr>
          <w:p w14:paraId="072DF59C" w14:textId="77777777" w:rsidR="00026512" w:rsidRPr="00CD5E36" w:rsidRDefault="00026512" w:rsidP="009B713B">
            <w:pPr>
              <w:jc w:val="center"/>
              <w:rPr>
                <w:rFonts w:ascii="Arial" w:hAnsi="Arial" w:cs="Arial"/>
              </w:rPr>
            </w:pPr>
            <w:r w:rsidRPr="00CD5E36">
              <w:rPr>
                <w:rFonts w:ascii="Arial" w:hAnsi="Arial" w:cs="Arial"/>
              </w:rPr>
              <w:t>YES</w:t>
            </w:r>
          </w:p>
        </w:tc>
      </w:tr>
      <w:tr w:rsidR="00026512" w:rsidRPr="00CD5E36" w14:paraId="56189F28" w14:textId="77777777" w:rsidTr="009B713B">
        <w:tc>
          <w:tcPr>
            <w:tcW w:w="4957" w:type="dxa"/>
          </w:tcPr>
          <w:p w14:paraId="2C5BB8A7" w14:textId="77777777" w:rsidR="00026512" w:rsidRPr="00CD5E36" w:rsidRDefault="00026512" w:rsidP="009B713B">
            <w:pPr>
              <w:rPr>
                <w:rFonts w:ascii="Arial" w:hAnsi="Arial" w:cs="Arial"/>
              </w:rPr>
            </w:pPr>
            <w:r w:rsidRPr="00CD5E36">
              <w:rPr>
                <w:rFonts w:ascii="Arial" w:hAnsi="Arial" w:cs="Arial"/>
              </w:rPr>
              <w:t>6.2 – Obtain Latest information from the MSCHOA and NATO Shipping Centre websites</w:t>
            </w:r>
          </w:p>
        </w:tc>
        <w:tc>
          <w:tcPr>
            <w:tcW w:w="1984" w:type="dxa"/>
          </w:tcPr>
          <w:p w14:paraId="55C7AEC4" w14:textId="77777777" w:rsidR="00026512" w:rsidRPr="00CD5E36" w:rsidRDefault="00026512" w:rsidP="009B713B">
            <w:pPr>
              <w:jc w:val="center"/>
              <w:rPr>
                <w:rFonts w:ascii="Arial" w:hAnsi="Arial" w:cs="Arial"/>
              </w:rPr>
            </w:pPr>
            <w:r w:rsidRPr="00CD5E36">
              <w:rPr>
                <w:rFonts w:ascii="Arial" w:hAnsi="Arial" w:cs="Arial"/>
              </w:rPr>
              <w:t>YES</w:t>
            </w:r>
          </w:p>
        </w:tc>
        <w:tc>
          <w:tcPr>
            <w:tcW w:w="2075" w:type="dxa"/>
          </w:tcPr>
          <w:p w14:paraId="688875B5" w14:textId="77777777" w:rsidR="00026512" w:rsidRPr="00CD5E36" w:rsidRDefault="00026512" w:rsidP="009B713B">
            <w:pPr>
              <w:jc w:val="center"/>
              <w:rPr>
                <w:rFonts w:ascii="Arial" w:hAnsi="Arial" w:cs="Arial"/>
              </w:rPr>
            </w:pPr>
            <w:r w:rsidRPr="00CD5E36">
              <w:rPr>
                <w:rFonts w:ascii="Arial" w:hAnsi="Arial" w:cs="Arial"/>
              </w:rPr>
              <w:t>YES</w:t>
            </w:r>
          </w:p>
        </w:tc>
      </w:tr>
      <w:tr w:rsidR="00026512" w:rsidRPr="00CD5E36" w14:paraId="453E18DD" w14:textId="77777777" w:rsidTr="009B713B">
        <w:tc>
          <w:tcPr>
            <w:tcW w:w="4957" w:type="dxa"/>
          </w:tcPr>
          <w:p w14:paraId="099EABC9" w14:textId="77777777" w:rsidR="00026512" w:rsidRPr="00CD5E36" w:rsidRDefault="00026512" w:rsidP="009B713B">
            <w:pPr>
              <w:rPr>
                <w:rFonts w:ascii="Arial" w:hAnsi="Arial" w:cs="Arial"/>
              </w:rPr>
            </w:pPr>
            <w:r w:rsidRPr="00CD5E36">
              <w:rPr>
                <w:rFonts w:ascii="Arial" w:hAnsi="Arial" w:cs="Arial"/>
              </w:rPr>
              <w:t>6.3 – Review the SSA and SSP</w:t>
            </w:r>
          </w:p>
        </w:tc>
        <w:tc>
          <w:tcPr>
            <w:tcW w:w="1984" w:type="dxa"/>
          </w:tcPr>
          <w:p w14:paraId="2730E0DD" w14:textId="77777777" w:rsidR="00026512" w:rsidRPr="00CD5E36" w:rsidRDefault="00026512" w:rsidP="009B713B">
            <w:pPr>
              <w:jc w:val="center"/>
              <w:rPr>
                <w:rFonts w:ascii="Arial" w:hAnsi="Arial" w:cs="Arial"/>
              </w:rPr>
            </w:pPr>
            <w:r w:rsidRPr="00CD5E36">
              <w:rPr>
                <w:rFonts w:ascii="Arial" w:hAnsi="Arial" w:cs="Arial"/>
              </w:rPr>
              <w:t>YES</w:t>
            </w:r>
          </w:p>
        </w:tc>
        <w:tc>
          <w:tcPr>
            <w:tcW w:w="2075" w:type="dxa"/>
          </w:tcPr>
          <w:p w14:paraId="192F4386" w14:textId="77777777" w:rsidR="00026512" w:rsidRPr="00CD5E36" w:rsidRDefault="00026512" w:rsidP="009B713B">
            <w:pPr>
              <w:jc w:val="center"/>
              <w:rPr>
                <w:rFonts w:ascii="Arial" w:hAnsi="Arial" w:cs="Arial"/>
              </w:rPr>
            </w:pPr>
            <w:r w:rsidRPr="00CD5E36">
              <w:rPr>
                <w:rFonts w:ascii="Arial" w:hAnsi="Arial" w:cs="Arial"/>
              </w:rPr>
              <w:t>YES</w:t>
            </w:r>
          </w:p>
        </w:tc>
      </w:tr>
      <w:tr w:rsidR="00026512" w:rsidRPr="00CD5E36" w14:paraId="32D10B3B" w14:textId="77777777" w:rsidTr="009B713B">
        <w:tc>
          <w:tcPr>
            <w:tcW w:w="4957" w:type="dxa"/>
          </w:tcPr>
          <w:p w14:paraId="7A4C9E10" w14:textId="77777777" w:rsidR="00026512" w:rsidRPr="00CD5E36" w:rsidRDefault="00026512" w:rsidP="009B713B">
            <w:pPr>
              <w:rPr>
                <w:rFonts w:ascii="Arial" w:hAnsi="Arial" w:cs="Arial"/>
              </w:rPr>
            </w:pPr>
            <w:r w:rsidRPr="00CD5E36">
              <w:rPr>
                <w:rFonts w:ascii="Arial" w:hAnsi="Arial" w:cs="Arial"/>
              </w:rPr>
              <w:t>6.4 – Put SSP in place</w:t>
            </w:r>
          </w:p>
        </w:tc>
        <w:tc>
          <w:tcPr>
            <w:tcW w:w="1984" w:type="dxa"/>
          </w:tcPr>
          <w:p w14:paraId="6858CC76" w14:textId="77777777" w:rsidR="00026512" w:rsidRPr="00CD5E36" w:rsidRDefault="00026512" w:rsidP="009B713B">
            <w:pPr>
              <w:jc w:val="center"/>
              <w:rPr>
                <w:rFonts w:ascii="Arial" w:hAnsi="Arial" w:cs="Arial"/>
              </w:rPr>
            </w:pPr>
            <w:r w:rsidRPr="00CD5E36">
              <w:rPr>
                <w:rFonts w:ascii="Arial" w:hAnsi="Arial" w:cs="Arial"/>
              </w:rPr>
              <w:t>As Required</w:t>
            </w:r>
          </w:p>
        </w:tc>
        <w:tc>
          <w:tcPr>
            <w:tcW w:w="2075" w:type="dxa"/>
          </w:tcPr>
          <w:p w14:paraId="31A8C66D" w14:textId="77777777" w:rsidR="00026512" w:rsidRPr="00CD5E36" w:rsidRDefault="00026512" w:rsidP="009B713B">
            <w:pPr>
              <w:jc w:val="center"/>
              <w:rPr>
                <w:rFonts w:ascii="Arial" w:hAnsi="Arial" w:cs="Arial"/>
              </w:rPr>
            </w:pPr>
            <w:r w:rsidRPr="00CD5E36">
              <w:rPr>
                <w:rFonts w:ascii="Arial" w:hAnsi="Arial" w:cs="Arial"/>
              </w:rPr>
              <w:t>YES</w:t>
            </w:r>
          </w:p>
        </w:tc>
      </w:tr>
      <w:tr w:rsidR="00026512" w:rsidRPr="00CD5E36" w14:paraId="5B38F878" w14:textId="77777777" w:rsidTr="009B713B">
        <w:tc>
          <w:tcPr>
            <w:tcW w:w="4957" w:type="dxa"/>
          </w:tcPr>
          <w:p w14:paraId="18A8A2CA" w14:textId="77777777" w:rsidR="00026512" w:rsidRPr="00CD5E36" w:rsidRDefault="00026512" w:rsidP="009B713B">
            <w:pPr>
              <w:rPr>
                <w:rFonts w:ascii="Arial" w:hAnsi="Arial" w:cs="Arial"/>
              </w:rPr>
            </w:pPr>
            <w:r w:rsidRPr="00CD5E36">
              <w:rPr>
                <w:rFonts w:ascii="Arial" w:hAnsi="Arial" w:cs="Arial"/>
              </w:rPr>
              <w:t>6.5 – Monitor piracy related websites on specific threats</w:t>
            </w:r>
          </w:p>
        </w:tc>
        <w:tc>
          <w:tcPr>
            <w:tcW w:w="1984" w:type="dxa"/>
          </w:tcPr>
          <w:p w14:paraId="1879D662" w14:textId="77777777" w:rsidR="00026512" w:rsidRPr="00CD5E36" w:rsidRDefault="00026512" w:rsidP="009B713B">
            <w:pPr>
              <w:jc w:val="center"/>
              <w:rPr>
                <w:rFonts w:ascii="Arial" w:hAnsi="Arial" w:cs="Arial"/>
              </w:rPr>
            </w:pPr>
            <w:r w:rsidRPr="00CD5E36">
              <w:rPr>
                <w:rFonts w:ascii="Arial" w:hAnsi="Arial" w:cs="Arial"/>
              </w:rPr>
              <w:t>YES</w:t>
            </w:r>
          </w:p>
        </w:tc>
        <w:tc>
          <w:tcPr>
            <w:tcW w:w="2075" w:type="dxa"/>
          </w:tcPr>
          <w:p w14:paraId="15222D85" w14:textId="77777777" w:rsidR="00026512" w:rsidRPr="00CD5E36" w:rsidRDefault="00026512" w:rsidP="009B713B">
            <w:pPr>
              <w:jc w:val="center"/>
              <w:rPr>
                <w:rFonts w:ascii="Arial" w:hAnsi="Arial" w:cs="Arial"/>
              </w:rPr>
            </w:pPr>
            <w:r w:rsidRPr="00CD5E36">
              <w:rPr>
                <w:rFonts w:ascii="Arial" w:hAnsi="Arial" w:cs="Arial"/>
              </w:rPr>
              <w:t>YES</w:t>
            </w:r>
          </w:p>
        </w:tc>
      </w:tr>
      <w:tr w:rsidR="00026512" w:rsidRPr="00CD5E36" w14:paraId="0026A6FE" w14:textId="77777777" w:rsidTr="009B713B">
        <w:tc>
          <w:tcPr>
            <w:tcW w:w="4957" w:type="dxa"/>
          </w:tcPr>
          <w:p w14:paraId="33A0F36E" w14:textId="77777777" w:rsidR="00026512" w:rsidRPr="00CD5E36" w:rsidRDefault="00026512" w:rsidP="009B713B">
            <w:pPr>
              <w:rPr>
                <w:rFonts w:ascii="Arial" w:hAnsi="Arial" w:cs="Arial"/>
              </w:rPr>
            </w:pPr>
            <w:r w:rsidRPr="00CD5E36">
              <w:rPr>
                <w:rFonts w:ascii="Arial" w:hAnsi="Arial" w:cs="Arial"/>
              </w:rPr>
              <w:t>6.6 – Offer guidance to Master with regard to the recommended route</w:t>
            </w:r>
          </w:p>
        </w:tc>
        <w:tc>
          <w:tcPr>
            <w:tcW w:w="1984" w:type="dxa"/>
          </w:tcPr>
          <w:p w14:paraId="40A782A6" w14:textId="77777777" w:rsidR="00026512" w:rsidRPr="00CD5E36" w:rsidRDefault="00026512" w:rsidP="009B713B">
            <w:pPr>
              <w:jc w:val="center"/>
              <w:rPr>
                <w:rFonts w:ascii="Arial" w:hAnsi="Arial" w:cs="Arial"/>
              </w:rPr>
            </w:pPr>
            <w:r w:rsidRPr="00CD5E36">
              <w:rPr>
                <w:rFonts w:ascii="Arial" w:hAnsi="Arial" w:cs="Arial"/>
              </w:rPr>
              <w:t>As Required</w:t>
            </w:r>
          </w:p>
        </w:tc>
        <w:tc>
          <w:tcPr>
            <w:tcW w:w="2075" w:type="dxa"/>
          </w:tcPr>
          <w:p w14:paraId="754C0347" w14:textId="77777777" w:rsidR="00026512" w:rsidRPr="00CD5E36" w:rsidRDefault="00026512" w:rsidP="009B713B">
            <w:pPr>
              <w:jc w:val="center"/>
              <w:rPr>
                <w:rFonts w:ascii="Arial" w:hAnsi="Arial" w:cs="Arial"/>
              </w:rPr>
            </w:pPr>
            <w:r w:rsidRPr="00CD5E36">
              <w:rPr>
                <w:rFonts w:ascii="Arial" w:hAnsi="Arial" w:cs="Arial"/>
              </w:rPr>
              <w:t>YES</w:t>
            </w:r>
          </w:p>
        </w:tc>
      </w:tr>
      <w:tr w:rsidR="00026512" w:rsidRPr="00CD5E36" w14:paraId="34F6D988" w14:textId="77777777" w:rsidTr="009B713B">
        <w:tc>
          <w:tcPr>
            <w:tcW w:w="4957" w:type="dxa"/>
          </w:tcPr>
          <w:p w14:paraId="65E11CD6" w14:textId="77777777" w:rsidR="00026512" w:rsidRPr="00CD5E36" w:rsidRDefault="00026512" w:rsidP="009B713B">
            <w:pPr>
              <w:rPr>
                <w:rFonts w:ascii="Arial" w:hAnsi="Arial" w:cs="Arial"/>
              </w:rPr>
            </w:pPr>
            <w:r w:rsidRPr="00CD5E36">
              <w:rPr>
                <w:rFonts w:ascii="Arial" w:hAnsi="Arial" w:cs="Arial"/>
              </w:rPr>
              <w:t>6.7 – Plan and install Ship Protection measures</w:t>
            </w:r>
          </w:p>
        </w:tc>
        <w:tc>
          <w:tcPr>
            <w:tcW w:w="1984" w:type="dxa"/>
          </w:tcPr>
          <w:p w14:paraId="081C3149" w14:textId="77777777" w:rsidR="00026512" w:rsidRPr="00CD5E36" w:rsidRDefault="00026512" w:rsidP="009B713B">
            <w:pPr>
              <w:jc w:val="center"/>
              <w:rPr>
                <w:rFonts w:ascii="Arial" w:hAnsi="Arial" w:cs="Arial"/>
              </w:rPr>
            </w:pPr>
            <w:r w:rsidRPr="00CD5E36">
              <w:rPr>
                <w:rFonts w:ascii="Arial" w:hAnsi="Arial" w:cs="Arial"/>
              </w:rPr>
              <w:t>As Required</w:t>
            </w:r>
          </w:p>
        </w:tc>
        <w:tc>
          <w:tcPr>
            <w:tcW w:w="2075" w:type="dxa"/>
          </w:tcPr>
          <w:p w14:paraId="3C9B82D4" w14:textId="77777777" w:rsidR="00026512" w:rsidRPr="00CD5E36" w:rsidRDefault="00026512" w:rsidP="009B713B">
            <w:pPr>
              <w:jc w:val="center"/>
              <w:rPr>
                <w:rFonts w:ascii="Arial" w:hAnsi="Arial" w:cs="Arial"/>
              </w:rPr>
            </w:pPr>
            <w:r w:rsidRPr="00CD5E36">
              <w:rPr>
                <w:rFonts w:ascii="Arial" w:hAnsi="Arial" w:cs="Arial"/>
              </w:rPr>
              <w:t>YES</w:t>
            </w:r>
          </w:p>
        </w:tc>
      </w:tr>
      <w:tr w:rsidR="00026512" w:rsidRPr="00CD5E36" w14:paraId="7BA8C88D" w14:textId="77777777" w:rsidTr="009B713B">
        <w:tc>
          <w:tcPr>
            <w:tcW w:w="4957" w:type="dxa"/>
          </w:tcPr>
          <w:p w14:paraId="7D03FA10" w14:textId="77777777" w:rsidR="00026512" w:rsidRPr="00CD5E36" w:rsidRDefault="00026512" w:rsidP="009B713B">
            <w:pPr>
              <w:rPr>
                <w:rFonts w:ascii="Arial" w:hAnsi="Arial" w:cs="Arial"/>
              </w:rPr>
            </w:pPr>
            <w:r w:rsidRPr="00CD5E36">
              <w:rPr>
                <w:rFonts w:ascii="Arial" w:hAnsi="Arial" w:cs="Arial"/>
              </w:rPr>
              <w:t>6.8 - Conduct crew training</w:t>
            </w:r>
          </w:p>
        </w:tc>
        <w:tc>
          <w:tcPr>
            <w:tcW w:w="1984" w:type="dxa"/>
          </w:tcPr>
          <w:p w14:paraId="1C9D38D7" w14:textId="77777777" w:rsidR="00026512" w:rsidRPr="00CD5E36" w:rsidRDefault="00026512" w:rsidP="009B713B">
            <w:pPr>
              <w:jc w:val="center"/>
              <w:rPr>
                <w:rFonts w:ascii="Arial" w:hAnsi="Arial" w:cs="Arial"/>
              </w:rPr>
            </w:pPr>
            <w:r w:rsidRPr="00CD5E36">
              <w:rPr>
                <w:rFonts w:ascii="Arial" w:hAnsi="Arial" w:cs="Arial"/>
              </w:rPr>
              <w:t>As Required</w:t>
            </w:r>
          </w:p>
        </w:tc>
        <w:tc>
          <w:tcPr>
            <w:tcW w:w="2075" w:type="dxa"/>
          </w:tcPr>
          <w:p w14:paraId="569A61DA" w14:textId="77777777" w:rsidR="00026512" w:rsidRPr="00CD5E36" w:rsidRDefault="00026512" w:rsidP="009B713B">
            <w:pPr>
              <w:jc w:val="center"/>
              <w:rPr>
                <w:rFonts w:ascii="Arial" w:hAnsi="Arial" w:cs="Arial"/>
              </w:rPr>
            </w:pPr>
            <w:r w:rsidRPr="00CD5E36">
              <w:rPr>
                <w:rFonts w:ascii="Arial" w:hAnsi="Arial" w:cs="Arial"/>
              </w:rPr>
              <w:t>YES</w:t>
            </w:r>
          </w:p>
        </w:tc>
      </w:tr>
      <w:tr w:rsidR="00026512" w:rsidRPr="00CD5E36" w14:paraId="47BBF20A" w14:textId="77777777" w:rsidTr="009B713B">
        <w:tc>
          <w:tcPr>
            <w:tcW w:w="4957" w:type="dxa"/>
          </w:tcPr>
          <w:p w14:paraId="1522B9B1" w14:textId="77777777" w:rsidR="00026512" w:rsidRPr="00CD5E36" w:rsidRDefault="00026512" w:rsidP="009B713B">
            <w:pPr>
              <w:rPr>
                <w:rFonts w:ascii="Arial" w:hAnsi="Arial" w:cs="Arial"/>
              </w:rPr>
            </w:pPr>
            <w:r w:rsidRPr="00CD5E36">
              <w:rPr>
                <w:rFonts w:ascii="Arial" w:hAnsi="Arial" w:cs="Arial"/>
              </w:rPr>
              <w:t>6.9 – Submit “vessel Movement Registration Form” to MSCHOA</w:t>
            </w:r>
          </w:p>
        </w:tc>
        <w:tc>
          <w:tcPr>
            <w:tcW w:w="1984" w:type="dxa"/>
          </w:tcPr>
          <w:p w14:paraId="703A8780" w14:textId="77777777" w:rsidR="00026512" w:rsidRPr="00CD5E36" w:rsidRDefault="00026512" w:rsidP="009B713B">
            <w:pPr>
              <w:jc w:val="center"/>
              <w:rPr>
                <w:rFonts w:ascii="Arial" w:hAnsi="Arial" w:cs="Arial"/>
              </w:rPr>
            </w:pPr>
            <w:r w:rsidRPr="00CD5E36">
              <w:rPr>
                <w:rFonts w:ascii="Arial" w:hAnsi="Arial" w:cs="Arial"/>
              </w:rPr>
              <w:t>YES</w:t>
            </w:r>
            <w:r w:rsidRPr="00CD5E36">
              <w:rPr>
                <w:rStyle w:val="FootnoteReference"/>
                <w:rFonts w:ascii="Arial" w:hAnsi="Arial" w:cs="Arial"/>
              </w:rPr>
              <w:footnoteReference w:id="1"/>
            </w:r>
          </w:p>
        </w:tc>
        <w:tc>
          <w:tcPr>
            <w:tcW w:w="2075" w:type="dxa"/>
          </w:tcPr>
          <w:p w14:paraId="106D2F4A" w14:textId="77777777" w:rsidR="00026512" w:rsidRPr="00CD5E36" w:rsidRDefault="00026512" w:rsidP="009B713B">
            <w:pPr>
              <w:jc w:val="center"/>
              <w:rPr>
                <w:rFonts w:ascii="Arial" w:hAnsi="Arial" w:cs="Arial"/>
              </w:rPr>
            </w:pPr>
            <w:r w:rsidRPr="00CD5E36">
              <w:rPr>
                <w:rFonts w:ascii="Arial" w:hAnsi="Arial" w:cs="Arial"/>
              </w:rPr>
              <w:t>YES</w:t>
            </w:r>
          </w:p>
        </w:tc>
      </w:tr>
    </w:tbl>
    <w:p w14:paraId="10414067" w14:textId="77777777" w:rsidR="00026512" w:rsidRPr="00CD5E36" w:rsidRDefault="00026512" w:rsidP="00026512">
      <w:pPr>
        <w:rPr>
          <w:rFonts w:ascii="Arial" w:hAnsi="Arial" w:cs="Arial"/>
          <w:b/>
        </w:rPr>
      </w:pPr>
      <w:r w:rsidRPr="00CD5E36">
        <w:rPr>
          <w:rFonts w:ascii="Arial" w:hAnsi="Arial" w:cs="Arial"/>
          <w:b/>
        </w:rPr>
        <w:t xml:space="preserve">Company Planning </w:t>
      </w:r>
    </w:p>
    <w:p w14:paraId="32506FEF" w14:textId="77777777" w:rsidR="00026512" w:rsidRPr="00CD5E36" w:rsidRDefault="00026512" w:rsidP="00026512">
      <w:pPr>
        <w:rPr>
          <w:rFonts w:ascii="Arial" w:hAnsi="Arial" w:cs="Arial"/>
          <w:b/>
        </w:rPr>
      </w:pPr>
    </w:p>
    <w:p w14:paraId="52E2E65C" w14:textId="77777777" w:rsidR="00026512" w:rsidRPr="00CD5E36" w:rsidRDefault="00026512" w:rsidP="00026512">
      <w:pPr>
        <w:rPr>
          <w:rFonts w:ascii="Arial" w:hAnsi="Arial" w:cs="Arial"/>
          <w:b/>
        </w:rPr>
      </w:pPr>
    </w:p>
    <w:p w14:paraId="65AC3CA6" w14:textId="77777777" w:rsidR="00026512" w:rsidRPr="00CD5E36" w:rsidRDefault="00026512" w:rsidP="00026512">
      <w:pPr>
        <w:rPr>
          <w:rFonts w:ascii="Arial" w:hAnsi="Arial" w:cs="Arial"/>
          <w:b/>
        </w:rPr>
      </w:pPr>
      <w:r w:rsidRPr="00CD5E36">
        <w:rPr>
          <w:rFonts w:ascii="Arial" w:hAnsi="Arial" w:cs="Arial"/>
          <w:b/>
        </w:rPr>
        <w:t xml:space="preserve">Ship Master’s </w:t>
      </w:r>
      <w:proofErr w:type="gramStart"/>
      <w:r w:rsidRPr="00CD5E36">
        <w:rPr>
          <w:rFonts w:ascii="Arial" w:hAnsi="Arial" w:cs="Arial"/>
          <w:b/>
        </w:rPr>
        <w:t>Planning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1984"/>
        <w:gridCol w:w="2075"/>
      </w:tblGrid>
      <w:tr w:rsidR="00026512" w:rsidRPr="00CD5E36" w14:paraId="6B1A5B7B" w14:textId="77777777" w:rsidTr="009B713B">
        <w:tc>
          <w:tcPr>
            <w:tcW w:w="4957" w:type="dxa"/>
          </w:tcPr>
          <w:p w14:paraId="1B9F955B" w14:textId="77777777" w:rsidR="00026512" w:rsidRPr="00CD5E36" w:rsidRDefault="00026512" w:rsidP="009B713B">
            <w:pPr>
              <w:rPr>
                <w:rFonts w:ascii="Arial" w:hAnsi="Arial" w:cs="Arial"/>
                <w:b/>
              </w:rPr>
            </w:pPr>
            <w:r w:rsidRPr="00CD5E36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1984" w:type="dxa"/>
          </w:tcPr>
          <w:p w14:paraId="543190DC" w14:textId="77777777" w:rsidR="00026512" w:rsidRPr="00CD5E36" w:rsidRDefault="00026512" w:rsidP="00B26859">
            <w:pPr>
              <w:jc w:val="center"/>
              <w:rPr>
                <w:rFonts w:ascii="Arial" w:hAnsi="Arial" w:cs="Arial"/>
                <w:b/>
              </w:rPr>
            </w:pPr>
            <w:r w:rsidRPr="00CD5E36">
              <w:rPr>
                <w:rFonts w:ascii="Arial" w:hAnsi="Arial" w:cs="Arial"/>
                <w:b/>
              </w:rPr>
              <w:t>VRA</w:t>
            </w:r>
          </w:p>
        </w:tc>
        <w:tc>
          <w:tcPr>
            <w:tcW w:w="2075" w:type="dxa"/>
          </w:tcPr>
          <w:p w14:paraId="0C8F28BC" w14:textId="77777777" w:rsidR="00026512" w:rsidRPr="00CD5E36" w:rsidRDefault="00026512" w:rsidP="00B26859">
            <w:pPr>
              <w:jc w:val="center"/>
              <w:rPr>
                <w:rFonts w:ascii="Arial" w:hAnsi="Arial" w:cs="Arial"/>
                <w:b/>
              </w:rPr>
            </w:pPr>
            <w:r w:rsidRPr="00CD5E36">
              <w:rPr>
                <w:rFonts w:ascii="Arial" w:hAnsi="Arial" w:cs="Arial"/>
                <w:b/>
              </w:rPr>
              <w:t>HRA</w:t>
            </w:r>
          </w:p>
        </w:tc>
      </w:tr>
      <w:tr w:rsidR="00026512" w:rsidRPr="00CD5E36" w14:paraId="39E96C7C" w14:textId="77777777" w:rsidTr="009B713B">
        <w:tc>
          <w:tcPr>
            <w:tcW w:w="4957" w:type="dxa"/>
          </w:tcPr>
          <w:p w14:paraId="6D347DCF" w14:textId="77777777" w:rsidR="00026512" w:rsidRPr="00CD5E36" w:rsidRDefault="00026512" w:rsidP="009B713B">
            <w:pPr>
              <w:rPr>
                <w:rFonts w:ascii="Arial" w:hAnsi="Arial" w:cs="Arial"/>
              </w:rPr>
            </w:pPr>
            <w:r w:rsidRPr="00CD5E36">
              <w:rPr>
                <w:rFonts w:ascii="Arial" w:hAnsi="Arial" w:cs="Arial"/>
              </w:rPr>
              <w:t>7.1 – Brief crew and conduct drill</w:t>
            </w:r>
          </w:p>
        </w:tc>
        <w:tc>
          <w:tcPr>
            <w:tcW w:w="1984" w:type="dxa"/>
          </w:tcPr>
          <w:p w14:paraId="11CB5F6B" w14:textId="7A208F2E" w:rsidR="00026512" w:rsidRPr="00CD5E36" w:rsidRDefault="00FE68BE" w:rsidP="00FE68BE">
            <w:pPr>
              <w:jc w:val="center"/>
              <w:rPr>
                <w:rFonts w:ascii="Arial" w:hAnsi="Arial" w:cs="Arial"/>
              </w:rPr>
            </w:pPr>
            <w:r w:rsidRPr="00CD5E36">
              <w:rPr>
                <w:rFonts w:ascii="Arial" w:hAnsi="Arial" w:cs="Arial"/>
              </w:rPr>
              <w:t>YES</w:t>
            </w:r>
          </w:p>
        </w:tc>
        <w:tc>
          <w:tcPr>
            <w:tcW w:w="2075" w:type="dxa"/>
          </w:tcPr>
          <w:p w14:paraId="42185108" w14:textId="77777777" w:rsidR="00026512" w:rsidRPr="00CD5E36" w:rsidRDefault="00026512" w:rsidP="009B713B">
            <w:pPr>
              <w:jc w:val="center"/>
              <w:rPr>
                <w:rFonts w:ascii="Arial" w:hAnsi="Arial" w:cs="Arial"/>
              </w:rPr>
            </w:pPr>
            <w:r w:rsidRPr="00CD5E36">
              <w:rPr>
                <w:rFonts w:ascii="Arial" w:hAnsi="Arial" w:cs="Arial"/>
              </w:rPr>
              <w:t>YES</w:t>
            </w:r>
          </w:p>
        </w:tc>
      </w:tr>
      <w:tr w:rsidR="00026512" w:rsidRPr="00CD5E36" w14:paraId="4217A465" w14:textId="77777777" w:rsidTr="009B713B">
        <w:tc>
          <w:tcPr>
            <w:tcW w:w="4957" w:type="dxa"/>
          </w:tcPr>
          <w:p w14:paraId="4AF39CF3" w14:textId="77777777" w:rsidR="00026512" w:rsidRPr="00CD5E36" w:rsidRDefault="00026512" w:rsidP="009B713B">
            <w:pPr>
              <w:rPr>
                <w:rFonts w:ascii="Arial" w:hAnsi="Arial" w:cs="Arial"/>
              </w:rPr>
            </w:pPr>
            <w:r w:rsidRPr="00CD5E36">
              <w:rPr>
                <w:rFonts w:ascii="Arial" w:hAnsi="Arial" w:cs="Arial"/>
              </w:rPr>
              <w:t>7.2 - Prepare and Emergency Communication Plan</w:t>
            </w:r>
          </w:p>
        </w:tc>
        <w:tc>
          <w:tcPr>
            <w:tcW w:w="1984" w:type="dxa"/>
          </w:tcPr>
          <w:p w14:paraId="7ED8F030" w14:textId="4E21E028" w:rsidR="00026512" w:rsidRPr="00CD5E36" w:rsidRDefault="00FE68BE" w:rsidP="00FE68BE">
            <w:pPr>
              <w:jc w:val="center"/>
              <w:rPr>
                <w:rFonts w:ascii="Arial" w:hAnsi="Arial" w:cs="Arial"/>
              </w:rPr>
            </w:pPr>
            <w:r w:rsidRPr="00CD5E36">
              <w:rPr>
                <w:rFonts w:ascii="Arial" w:hAnsi="Arial" w:cs="Arial"/>
              </w:rPr>
              <w:t>YES</w:t>
            </w:r>
          </w:p>
        </w:tc>
        <w:tc>
          <w:tcPr>
            <w:tcW w:w="2075" w:type="dxa"/>
          </w:tcPr>
          <w:p w14:paraId="63836070" w14:textId="77777777" w:rsidR="00026512" w:rsidRPr="00CD5E36" w:rsidRDefault="00026512" w:rsidP="009B713B">
            <w:pPr>
              <w:jc w:val="center"/>
              <w:rPr>
                <w:rFonts w:ascii="Arial" w:hAnsi="Arial" w:cs="Arial"/>
              </w:rPr>
            </w:pPr>
            <w:r w:rsidRPr="00CD5E36">
              <w:rPr>
                <w:rFonts w:ascii="Arial" w:hAnsi="Arial" w:cs="Arial"/>
              </w:rPr>
              <w:t>YES</w:t>
            </w:r>
          </w:p>
        </w:tc>
      </w:tr>
      <w:tr w:rsidR="00026512" w:rsidRPr="00CD5E36" w14:paraId="7B6672B2" w14:textId="77777777" w:rsidTr="009B713B">
        <w:tc>
          <w:tcPr>
            <w:tcW w:w="4957" w:type="dxa"/>
          </w:tcPr>
          <w:p w14:paraId="200A8C43" w14:textId="77777777" w:rsidR="00026512" w:rsidRPr="00CD5E36" w:rsidRDefault="00026512" w:rsidP="009B713B">
            <w:pPr>
              <w:rPr>
                <w:rFonts w:ascii="Arial" w:hAnsi="Arial" w:cs="Arial"/>
              </w:rPr>
            </w:pPr>
            <w:r w:rsidRPr="00CD5E36">
              <w:rPr>
                <w:rFonts w:ascii="Arial" w:hAnsi="Arial" w:cs="Arial"/>
              </w:rPr>
              <w:t>7.3 – Define the ship’s AIS policy</w:t>
            </w:r>
          </w:p>
        </w:tc>
        <w:tc>
          <w:tcPr>
            <w:tcW w:w="1984" w:type="dxa"/>
          </w:tcPr>
          <w:p w14:paraId="4FB3AA73" w14:textId="04A13B12" w:rsidR="00026512" w:rsidRPr="00CD5E36" w:rsidRDefault="00FE68BE" w:rsidP="00FE68BE">
            <w:pPr>
              <w:jc w:val="center"/>
              <w:rPr>
                <w:rFonts w:ascii="Arial" w:hAnsi="Arial" w:cs="Arial"/>
              </w:rPr>
            </w:pPr>
            <w:r w:rsidRPr="00CD5E36">
              <w:rPr>
                <w:rFonts w:ascii="Arial" w:hAnsi="Arial" w:cs="Arial"/>
              </w:rPr>
              <w:t>YES</w:t>
            </w:r>
          </w:p>
        </w:tc>
        <w:tc>
          <w:tcPr>
            <w:tcW w:w="2075" w:type="dxa"/>
          </w:tcPr>
          <w:p w14:paraId="3A9EDBE3" w14:textId="77777777" w:rsidR="00026512" w:rsidRPr="00CD5E36" w:rsidRDefault="00026512" w:rsidP="009B713B">
            <w:pPr>
              <w:jc w:val="center"/>
              <w:rPr>
                <w:rFonts w:ascii="Arial" w:hAnsi="Arial" w:cs="Arial"/>
              </w:rPr>
            </w:pPr>
            <w:r w:rsidRPr="00CD5E36">
              <w:rPr>
                <w:rFonts w:ascii="Arial" w:hAnsi="Arial" w:cs="Arial"/>
              </w:rPr>
              <w:t>YES</w:t>
            </w:r>
          </w:p>
        </w:tc>
      </w:tr>
      <w:tr w:rsidR="00026512" w:rsidRPr="00CD5E36" w14:paraId="6F7753E0" w14:textId="77777777" w:rsidTr="009B713B">
        <w:tc>
          <w:tcPr>
            <w:tcW w:w="4957" w:type="dxa"/>
          </w:tcPr>
          <w:p w14:paraId="244B11B3" w14:textId="77777777" w:rsidR="00026512" w:rsidRPr="00CD5E36" w:rsidRDefault="00026512" w:rsidP="009B713B">
            <w:pPr>
              <w:rPr>
                <w:rFonts w:ascii="Arial" w:hAnsi="Arial" w:cs="Arial"/>
              </w:rPr>
            </w:pPr>
            <w:r w:rsidRPr="00CD5E36">
              <w:rPr>
                <w:rFonts w:ascii="Arial" w:hAnsi="Arial" w:cs="Arial"/>
              </w:rPr>
              <w:t>7.4 – If Company has not submitted “Vessel Movement Registration Form” to MSCHOA</w:t>
            </w:r>
          </w:p>
        </w:tc>
        <w:tc>
          <w:tcPr>
            <w:tcW w:w="1984" w:type="dxa"/>
          </w:tcPr>
          <w:p w14:paraId="6EF2BD64" w14:textId="3863E187" w:rsidR="00026512" w:rsidRPr="00CD5E36" w:rsidRDefault="00FE68BE" w:rsidP="00FE68BE">
            <w:pPr>
              <w:jc w:val="center"/>
              <w:rPr>
                <w:rFonts w:ascii="Arial" w:hAnsi="Arial" w:cs="Arial"/>
              </w:rPr>
            </w:pPr>
            <w:r w:rsidRPr="00CD5E36">
              <w:rPr>
                <w:rFonts w:ascii="Arial" w:hAnsi="Arial" w:cs="Arial"/>
              </w:rPr>
              <w:t>YES</w:t>
            </w:r>
            <w:r w:rsidR="00BE19E7" w:rsidRPr="00CD5E36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075" w:type="dxa"/>
          </w:tcPr>
          <w:p w14:paraId="71589C76" w14:textId="6ACFD686" w:rsidR="00026512" w:rsidRPr="00CD5E36" w:rsidRDefault="00FE68BE" w:rsidP="00FE68BE">
            <w:pPr>
              <w:jc w:val="center"/>
              <w:rPr>
                <w:rFonts w:ascii="Arial" w:hAnsi="Arial" w:cs="Arial"/>
              </w:rPr>
            </w:pPr>
            <w:r w:rsidRPr="00CD5E36">
              <w:rPr>
                <w:rFonts w:ascii="Arial" w:hAnsi="Arial" w:cs="Arial"/>
              </w:rPr>
              <w:t>YES</w:t>
            </w:r>
          </w:p>
        </w:tc>
      </w:tr>
      <w:tr w:rsidR="00026512" w:rsidRPr="00CD5E36" w14:paraId="36EBDD37" w14:textId="77777777" w:rsidTr="009B713B">
        <w:tc>
          <w:tcPr>
            <w:tcW w:w="4957" w:type="dxa"/>
          </w:tcPr>
          <w:p w14:paraId="4FD99FB3" w14:textId="77777777" w:rsidR="00026512" w:rsidRPr="00CD5E36" w:rsidRDefault="00026512" w:rsidP="009B713B">
            <w:pPr>
              <w:rPr>
                <w:rFonts w:ascii="Arial" w:hAnsi="Arial" w:cs="Arial"/>
              </w:rPr>
            </w:pPr>
            <w:r w:rsidRPr="00CD5E36">
              <w:rPr>
                <w:rFonts w:ascii="Arial" w:hAnsi="Arial" w:cs="Arial"/>
              </w:rPr>
              <w:t>7.5 – Upon Entering submit “Vessel Position Reporting Form” – In</w:t>
            </w:r>
            <w:r w:rsidR="00AB656F" w:rsidRPr="00CD5E36">
              <w:rPr>
                <w:rFonts w:ascii="Arial" w:hAnsi="Arial" w:cs="Arial"/>
              </w:rPr>
              <w:t>i</w:t>
            </w:r>
            <w:r w:rsidRPr="00CD5E36">
              <w:rPr>
                <w:rFonts w:ascii="Arial" w:hAnsi="Arial" w:cs="Arial"/>
              </w:rPr>
              <w:t>tial report to UKMTO</w:t>
            </w:r>
          </w:p>
        </w:tc>
        <w:tc>
          <w:tcPr>
            <w:tcW w:w="1984" w:type="dxa"/>
          </w:tcPr>
          <w:p w14:paraId="6AD08272" w14:textId="77777777" w:rsidR="00026512" w:rsidRPr="00CD5E36" w:rsidRDefault="00026512" w:rsidP="009B713B">
            <w:pPr>
              <w:jc w:val="center"/>
              <w:rPr>
                <w:rFonts w:ascii="Arial" w:hAnsi="Arial" w:cs="Arial"/>
              </w:rPr>
            </w:pPr>
            <w:r w:rsidRPr="00CD5E36">
              <w:rPr>
                <w:rFonts w:ascii="Arial" w:hAnsi="Arial" w:cs="Arial"/>
              </w:rPr>
              <w:t>YES</w:t>
            </w:r>
          </w:p>
        </w:tc>
        <w:tc>
          <w:tcPr>
            <w:tcW w:w="2075" w:type="dxa"/>
          </w:tcPr>
          <w:p w14:paraId="5C29493F" w14:textId="77777777" w:rsidR="00026512" w:rsidRPr="00CD5E36" w:rsidRDefault="00026512" w:rsidP="009B713B">
            <w:pPr>
              <w:jc w:val="center"/>
              <w:rPr>
                <w:rFonts w:ascii="Arial" w:hAnsi="Arial" w:cs="Arial"/>
              </w:rPr>
            </w:pPr>
            <w:r w:rsidRPr="00CD5E36">
              <w:rPr>
                <w:rFonts w:ascii="Arial" w:hAnsi="Arial" w:cs="Arial"/>
              </w:rPr>
              <w:t>YES</w:t>
            </w:r>
          </w:p>
        </w:tc>
      </w:tr>
      <w:tr w:rsidR="00026512" w:rsidRPr="00CD5E36" w14:paraId="44C429F8" w14:textId="77777777" w:rsidTr="009B713B">
        <w:tc>
          <w:tcPr>
            <w:tcW w:w="4957" w:type="dxa"/>
          </w:tcPr>
          <w:p w14:paraId="11924CF7" w14:textId="77777777" w:rsidR="00026512" w:rsidRPr="00CD5E36" w:rsidRDefault="00026512" w:rsidP="009B713B">
            <w:pPr>
              <w:rPr>
                <w:rFonts w:ascii="Arial" w:hAnsi="Arial" w:cs="Arial"/>
              </w:rPr>
            </w:pPr>
            <w:r w:rsidRPr="00CD5E36">
              <w:rPr>
                <w:rFonts w:ascii="Arial" w:hAnsi="Arial" w:cs="Arial"/>
              </w:rPr>
              <w:t>7.6 – Reduce Maintenance and engineering work to minimum</w:t>
            </w:r>
          </w:p>
        </w:tc>
        <w:tc>
          <w:tcPr>
            <w:tcW w:w="1984" w:type="dxa"/>
          </w:tcPr>
          <w:p w14:paraId="349F6C3C" w14:textId="77777777" w:rsidR="00026512" w:rsidRPr="00CD5E36" w:rsidRDefault="00026512" w:rsidP="009B713B">
            <w:pPr>
              <w:jc w:val="center"/>
              <w:rPr>
                <w:rFonts w:ascii="Arial" w:hAnsi="Arial" w:cs="Arial"/>
              </w:rPr>
            </w:pPr>
            <w:r w:rsidRPr="00CD5E36">
              <w:rPr>
                <w:rFonts w:ascii="Arial" w:hAnsi="Arial" w:cs="Arial"/>
              </w:rPr>
              <w:t>As Required</w:t>
            </w:r>
          </w:p>
        </w:tc>
        <w:tc>
          <w:tcPr>
            <w:tcW w:w="2075" w:type="dxa"/>
          </w:tcPr>
          <w:p w14:paraId="6307FEBB" w14:textId="4265D4C1" w:rsidR="00026512" w:rsidRPr="00CD5E36" w:rsidRDefault="00FE68BE" w:rsidP="00FE68BE">
            <w:pPr>
              <w:jc w:val="center"/>
              <w:rPr>
                <w:rFonts w:ascii="Arial" w:hAnsi="Arial" w:cs="Arial"/>
              </w:rPr>
            </w:pPr>
            <w:r w:rsidRPr="00CD5E36">
              <w:rPr>
                <w:rFonts w:ascii="Arial" w:hAnsi="Arial" w:cs="Arial"/>
              </w:rPr>
              <w:t>YES</w:t>
            </w:r>
          </w:p>
        </w:tc>
      </w:tr>
      <w:tr w:rsidR="00026512" w:rsidRPr="00CD5E36" w14:paraId="4E98EC02" w14:textId="77777777" w:rsidTr="009B713B">
        <w:tc>
          <w:tcPr>
            <w:tcW w:w="4957" w:type="dxa"/>
          </w:tcPr>
          <w:p w14:paraId="348AE75C" w14:textId="77777777" w:rsidR="00026512" w:rsidRPr="00CD5E36" w:rsidRDefault="00026512" w:rsidP="009B713B">
            <w:pPr>
              <w:rPr>
                <w:rFonts w:ascii="Arial" w:hAnsi="Arial" w:cs="Arial"/>
              </w:rPr>
            </w:pPr>
            <w:r w:rsidRPr="00CD5E36">
              <w:rPr>
                <w:rFonts w:ascii="Arial" w:hAnsi="Arial" w:cs="Arial"/>
              </w:rPr>
              <w:t>7.7 – Daily submit “Vessel Position Reporting Form – Daily Position Report” to UKMTO</w:t>
            </w:r>
          </w:p>
        </w:tc>
        <w:tc>
          <w:tcPr>
            <w:tcW w:w="1984" w:type="dxa"/>
          </w:tcPr>
          <w:p w14:paraId="4FDA8D36" w14:textId="77777777" w:rsidR="00026512" w:rsidRPr="00CD5E36" w:rsidRDefault="00026512" w:rsidP="009B713B">
            <w:pPr>
              <w:jc w:val="center"/>
              <w:rPr>
                <w:rFonts w:ascii="Arial" w:hAnsi="Arial" w:cs="Arial"/>
              </w:rPr>
            </w:pPr>
            <w:r w:rsidRPr="00CD5E36">
              <w:rPr>
                <w:rFonts w:ascii="Arial" w:hAnsi="Arial" w:cs="Arial"/>
              </w:rPr>
              <w:t>YES</w:t>
            </w:r>
          </w:p>
        </w:tc>
        <w:tc>
          <w:tcPr>
            <w:tcW w:w="2075" w:type="dxa"/>
          </w:tcPr>
          <w:p w14:paraId="0E6833D3" w14:textId="77777777" w:rsidR="00026512" w:rsidRPr="00CD5E36" w:rsidRDefault="00026512" w:rsidP="009B713B">
            <w:pPr>
              <w:jc w:val="center"/>
              <w:rPr>
                <w:rFonts w:ascii="Arial" w:hAnsi="Arial" w:cs="Arial"/>
              </w:rPr>
            </w:pPr>
            <w:r w:rsidRPr="00CD5E36">
              <w:rPr>
                <w:rFonts w:ascii="Arial" w:hAnsi="Arial" w:cs="Arial"/>
              </w:rPr>
              <w:t>YES</w:t>
            </w:r>
          </w:p>
        </w:tc>
      </w:tr>
      <w:tr w:rsidR="00026512" w:rsidRPr="00CD5E36" w14:paraId="1D6DDAA1" w14:textId="77777777" w:rsidTr="009B713B">
        <w:tc>
          <w:tcPr>
            <w:tcW w:w="4957" w:type="dxa"/>
          </w:tcPr>
          <w:p w14:paraId="5BA2F812" w14:textId="77777777" w:rsidR="00026512" w:rsidRPr="00CD5E36" w:rsidRDefault="00026512" w:rsidP="009B713B">
            <w:pPr>
              <w:rPr>
                <w:rFonts w:ascii="Arial" w:hAnsi="Arial" w:cs="Arial"/>
              </w:rPr>
            </w:pPr>
            <w:r w:rsidRPr="00CD5E36">
              <w:rPr>
                <w:rFonts w:ascii="Arial" w:hAnsi="Arial" w:cs="Arial"/>
              </w:rPr>
              <w:t>7.8 – Carefully review all warnings and information</w:t>
            </w:r>
          </w:p>
        </w:tc>
        <w:tc>
          <w:tcPr>
            <w:tcW w:w="1984" w:type="dxa"/>
          </w:tcPr>
          <w:p w14:paraId="1613A13C" w14:textId="77777777" w:rsidR="00026512" w:rsidRPr="00CD5E36" w:rsidRDefault="00026512" w:rsidP="009B713B">
            <w:pPr>
              <w:jc w:val="center"/>
              <w:rPr>
                <w:rFonts w:ascii="Arial" w:hAnsi="Arial" w:cs="Arial"/>
              </w:rPr>
            </w:pPr>
            <w:r w:rsidRPr="00CD5E36">
              <w:rPr>
                <w:rFonts w:ascii="Arial" w:hAnsi="Arial" w:cs="Arial"/>
              </w:rPr>
              <w:t>YES</w:t>
            </w:r>
          </w:p>
        </w:tc>
        <w:tc>
          <w:tcPr>
            <w:tcW w:w="2075" w:type="dxa"/>
          </w:tcPr>
          <w:p w14:paraId="0A1D3458" w14:textId="77777777" w:rsidR="00026512" w:rsidRPr="00CD5E36" w:rsidRDefault="00026512" w:rsidP="009B713B">
            <w:pPr>
              <w:jc w:val="center"/>
              <w:rPr>
                <w:rFonts w:ascii="Arial" w:hAnsi="Arial" w:cs="Arial"/>
              </w:rPr>
            </w:pPr>
            <w:r w:rsidRPr="00CD5E36">
              <w:rPr>
                <w:rFonts w:ascii="Arial" w:hAnsi="Arial" w:cs="Arial"/>
              </w:rPr>
              <w:t>YES</w:t>
            </w:r>
          </w:p>
        </w:tc>
      </w:tr>
      <w:tr w:rsidR="00026512" w:rsidRPr="00CD5E36" w14:paraId="4A4A5F3B" w14:textId="77777777" w:rsidTr="009B713B">
        <w:tc>
          <w:tcPr>
            <w:tcW w:w="4957" w:type="dxa"/>
          </w:tcPr>
          <w:p w14:paraId="1A6910FB" w14:textId="77777777" w:rsidR="00026512" w:rsidRPr="00CD5E36" w:rsidRDefault="00026512" w:rsidP="009B713B">
            <w:pPr>
              <w:rPr>
                <w:rFonts w:ascii="Arial" w:hAnsi="Arial" w:cs="Arial"/>
              </w:rPr>
            </w:pPr>
            <w:r w:rsidRPr="00CD5E36">
              <w:rPr>
                <w:rFonts w:ascii="Arial" w:hAnsi="Arial" w:cs="Arial"/>
              </w:rPr>
              <w:t>7.9 – Use IRTC Group Transit Scheme while transiting through Gulf of Aden</w:t>
            </w:r>
          </w:p>
        </w:tc>
        <w:tc>
          <w:tcPr>
            <w:tcW w:w="1984" w:type="dxa"/>
          </w:tcPr>
          <w:p w14:paraId="4BBD3364" w14:textId="77777777" w:rsidR="00026512" w:rsidRPr="00CD5E36" w:rsidRDefault="00026512" w:rsidP="009B713B">
            <w:pPr>
              <w:jc w:val="center"/>
              <w:rPr>
                <w:rFonts w:ascii="Arial" w:hAnsi="Arial" w:cs="Arial"/>
              </w:rPr>
            </w:pPr>
            <w:r w:rsidRPr="00CD5E36">
              <w:rPr>
                <w:rFonts w:ascii="Arial" w:hAnsi="Arial" w:cs="Arial"/>
              </w:rPr>
              <w:t>Not Applicable</w:t>
            </w:r>
          </w:p>
        </w:tc>
        <w:tc>
          <w:tcPr>
            <w:tcW w:w="2075" w:type="dxa"/>
          </w:tcPr>
          <w:p w14:paraId="346964BC" w14:textId="77777777" w:rsidR="00026512" w:rsidRPr="00CD5E36" w:rsidRDefault="00026512" w:rsidP="009B713B">
            <w:pPr>
              <w:jc w:val="center"/>
              <w:rPr>
                <w:rFonts w:ascii="Arial" w:hAnsi="Arial" w:cs="Arial"/>
              </w:rPr>
            </w:pPr>
            <w:r w:rsidRPr="00CD5E36">
              <w:rPr>
                <w:rFonts w:ascii="Arial" w:hAnsi="Arial" w:cs="Arial"/>
              </w:rPr>
              <w:t>As Required</w:t>
            </w:r>
          </w:p>
        </w:tc>
      </w:tr>
      <w:tr w:rsidR="00026512" w:rsidRPr="00CD5E36" w14:paraId="11E52F5E" w14:textId="77777777" w:rsidTr="009B713B">
        <w:tc>
          <w:tcPr>
            <w:tcW w:w="4957" w:type="dxa"/>
          </w:tcPr>
          <w:p w14:paraId="22343998" w14:textId="77777777" w:rsidR="00026512" w:rsidRPr="00CD5E36" w:rsidRDefault="00026512" w:rsidP="009B713B">
            <w:pPr>
              <w:rPr>
                <w:rFonts w:ascii="Arial" w:hAnsi="Arial" w:cs="Arial"/>
              </w:rPr>
            </w:pPr>
            <w:r w:rsidRPr="00CD5E36">
              <w:rPr>
                <w:rFonts w:ascii="Arial" w:hAnsi="Arial" w:cs="Arial"/>
              </w:rPr>
              <w:t>7.10 – Make Adjustments to passage plans to conform to MSCHOA advice</w:t>
            </w:r>
          </w:p>
        </w:tc>
        <w:tc>
          <w:tcPr>
            <w:tcW w:w="1984" w:type="dxa"/>
          </w:tcPr>
          <w:p w14:paraId="489249EB" w14:textId="77777777" w:rsidR="00026512" w:rsidRPr="00CD5E36" w:rsidRDefault="00026512" w:rsidP="009B713B">
            <w:pPr>
              <w:jc w:val="center"/>
              <w:rPr>
                <w:rFonts w:ascii="Arial" w:hAnsi="Arial" w:cs="Arial"/>
              </w:rPr>
            </w:pPr>
            <w:r w:rsidRPr="00CD5E36">
              <w:rPr>
                <w:rFonts w:ascii="Arial" w:hAnsi="Arial" w:cs="Arial"/>
              </w:rPr>
              <w:t>YES</w:t>
            </w:r>
          </w:p>
        </w:tc>
        <w:tc>
          <w:tcPr>
            <w:tcW w:w="2075" w:type="dxa"/>
          </w:tcPr>
          <w:p w14:paraId="2F2AA413" w14:textId="77777777" w:rsidR="00026512" w:rsidRPr="00CD5E36" w:rsidRDefault="00026512" w:rsidP="009B713B">
            <w:pPr>
              <w:jc w:val="center"/>
              <w:rPr>
                <w:rFonts w:ascii="Arial" w:hAnsi="Arial" w:cs="Arial"/>
              </w:rPr>
            </w:pPr>
            <w:r w:rsidRPr="00CD5E36">
              <w:rPr>
                <w:rFonts w:ascii="Arial" w:hAnsi="Arial" w:cs="Arial"/>
              </w:rPr>
              <w:t>YES</w:t>
            </w:r>
          </w:p>
        </w:tc>
      </w:tr>
      <w:tr w:rsidR="00026512" w:rsidRPr="00CD5E36" w14:paraId="6EB306B0" w14:textId="77777777" w:rsidTr="009B713B">
        <w:tc>
          <w:tcPr>
            <w:tcW w:w="4957" w:type="dxa"/>
          </w:tcPr>
          <w:p w14:paraId="2056E10C" w14:textId="77777777" w:rsidR="00026512" w:rsidRPr="00CD5E36" w:rsidRDefault="00026512" w:rsidP="009B713B">
            <w:pPr>
              <w:rPr>
                <w:rFonts w:ascii="Arial" w:hAnsi="Arial" w:cs="Arial"/>
              </w:rPr>
            </w:pPr>
            <w:r w:rsidRPr="00CD5E36">
              <w:rPr>
                <w:rFonts w:ascii="Arial" w:hAnsi="Arial" w:cs="Arial"/>
              </w:rPr>
              <w:t>7.11 – National Convoys</w:t>
            </w:r>
          </w:p>
        </w:tc>
        <w:tc>
          <w:tcPr>
            <w:tcW w:w="1984" w:type="dxa"/>
          </w:tcPr>
          <w:p w14:paraId="4004502B" w14:textId="77777777" w:rsidR="00026512" w:rsidRPr="00CD5E36" w:rsidRDefault="00026512" w:rsidP="009B713B">
            <w:pPr>
              <w:jc w:val="center"/>
              <w:rPr>
                <w:rFonts w:ascii="Arial" w:hAnsi="Arial" w:cs="Arial"/>
              </w:rPr>
            </w:pPr>
            <w:r w:rsidRPr="00CD5E36">
              <w:rPr>
                <w:rFonts w:ascii="Arial" w:hAnsi="Arial" w:cs="Arial"/>
              </w:rPr>
              <w:t>Not Applicable</w:t>
            </w:r>
          </w:p>
        </w:tc>
        <w:tc>
          <w:tcPr>
            <w:tcW w:w="2075" w:type="dxa"/>
          </w:tcPr>
          <w:p w14:paraId="00844E0D" w14:textId="77777777" w:rsidR="00026512" w:rsidRPr="00CD5E36" w:rsidRDefault="00026512" w:rsidP="009B713B">
            <w:pPr>
              <w:jc w:val="center"/>
              <w:rPr>
                <w:rFonts w:ascii="Arial" w:hAnsi="Arial" w:cs="Arial"/>
              </w:rPr>
            </w:pPr>
            <w:r w:rsidRPr="00CD5E36">
              <w:rPr>
                <w:rFonts w:ascii="Arial" w:hAnsi="Arial" w:cs="Arial"/>
              </w:rPr>
              <w:t>As Required</w:t>
            </w:r>
          </w:p>
        </w:tc>
      </w:tr>
    </w:tbl>
    <w:p w14:paraId="3BC3BA59" w14:textId="77777777" w:rsidR="00026512" w:rsidRPr="00CD5E36" w:rsidRDefault="00026512" w:rsidP="00026512">
      <w:pPr>
        <w:rPr>
          <w:rFonts w:ascii="Arial" w:hAnsi="Arial" w:cs="Arial"/>
          <w:b/>
        </w:rPr>
      </w:pPr>
    </w:p>
    <w:p w14:paraId="5ED0BDAC" w14:textId="77777777" w:rsidR="00026512" w:rsidRPr="00CD5E36" w:rsidRDefault="00026512" w:rsidP="00026512">
      <w:pPr>
        <w:rPr>
          <w:rFonts w:ascii="Arial" w:hAnsi="Arial" w:cs="Arial"/>
          <w:b/>
        </w:rPr>
      </w:pPr>
    </w:p>
    <w:p w14:paraId="09096B6B" w14:textId="77777777" w:rsidR="00825ADE" w:rsidRPr="00CD5E36" w:rsidRDefault="00825ADE" w:rsidP="00316368">
      <w:pPr>
        <w:rPr>
          <w:rFonts w:ascii="Arial" w:hAnsi="Arial" w:cs="Arial"/>
          <w:sz w:val="28"/>
        </w:rPr>
      </w:pPr>
    </w:p>
    <w:sectPr w:rsidR="00825ADE" w:rsidRPr="00CD5E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5B2D02" w14:textId="77777777" w:rsidR="00BD27B6" w:rsidRDefault="00BD27B6" w:rsidP="00026512">
      <w:pPr>
        <w:spacing w:after="0" w:line="240" w:lineRule="auto"/>
      </w:pPr>
      <w:r>
        <w:separator/>
      </w:r>
    </w:p>
  </w:endnote>
  <w:endnote w:type="continuationSeparator" w:id="0">
    <w:p w14:paraId="27B49AD8" w14:textId="77777777" w:rsidR="00BD27B6" w:rsidRDefault="00BD27B6" w:rsidP="00026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CFA02" w14:textId="77777777" w:rsidR="00BD27B6" w:rsidRDefault="00BD27B6" w:rsidP="00026512">
      <w:pPr>
        <w:spacing w:after="0" w:line="240" w:lineRule="auto"/>
      </w:pPr>
      <w:r>
        <w:separator/>
      </w:r>
    </w:p>
  </w:footnote>
  <w:footnote w:type="continuationSeparator" w:id="0">
    <w:p w14:paraId="03EB8542" w14:textId="77777777" w:rsidR="00BD27B6" w:rsidRDefault="00BD27B6" w:rsidP="00026512">
      <w:pPr>
        <w:spacing w:after="0" w:line="240" w:lineRule="auto"/>
      </w:pPr>
      <w:r>
        <w:continuationSeparator/>
      </w:r>
    </w:p>
  </w:footnote>
  <w:footnote w:id="1">
    <w:p w14:paraId="5222B87E" w14:textId="77777777" w:rsidR="00026512" w:rsidRDefault="00026512" w:rsidP="00026512">
      <w:pPr>
        <w:pStyle w:val="FootnoteText"/>
      </w:pPr>
      <w:r>
        <w:rPr>
          <w:rStyle w:val="FootnoteReference"/>
        </w:rPr>
        <w:footnoteRef/>
      </w:r>
      <w:r>
        <w:t xml:space="preserve"> As advised by MSCHOA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617174"/>
    <w:multiLevelType w:val="hybridMultilevel"/>
    <w:tmpl w:val="7F3A5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5563D"/>
    <w:multiLevelType w:val="hybridMultilevel"/>
    <w:tmpl w:val="B0A43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B77"/>
    <w:rsid w:val="00000B29"/>
    <w:rsid w:val="00026512"/>
    <w:rsid w:val="000661C6"/>
    <w:rsid w:val="00080BB3"/>
    <w:rsid w:val="000C617D"/>
    <w:rsid w:val="001015F5"/>
    <w:rsid w:val="00210617"/>
    <w:rsid w:val="002246DB"/>
    <w:rsid w:val="00316368"/>
    <w:rsid w:val="004A7D94"/>
    <w:rsid w:val="004B48DB"/>
    <w:rsid w:val="004C78FD"/>
    <w:rsid w:val="00525016"/>
    <w:rsid w:val="00626654"/>
    <w:rsid w:val="0065158D"/>
    <w:rsid w:val="006A7B9E"/>
    <w:rsid w:val="00714BAB"/>
    <w:rsid w:val="00723C06"/>
    <w:rsid w:val="00751997"/>
    <w:rsid w:val="007908F1"/>
    <w:rsid w:val="007A6966"/>
    <w:rsid w:val="007F506C"/>
    <w:rsid w:val="00825ADE"/>
    <w:rsid w:val="0084005C"/>
    <w:rsid w:val="008C0BB1"/>
    <w:rsid w:val="00956418"/>
    <w:rsid w:val="009A04B6"/>
    <w:rsid w:val="00AB656F"/>
    <w:rsid w:val="00B23CF7"/>
    <w:rsid w:val="00B26859"/>
    <w:rsid w:val="00B42573"/>
    <w:rsid w:val="00B554E8"/>
    <w:rsid w:val="00B7442A"/>
    <w:rsid w:val="00BA2C91"/>
    <w:rsid w:val="00BB2CC6"/>
    <w:rsid w:val="00BC2AAA"/>
    <w:rsid w:val="00BD27B6"/>
    <w:rsid w:val="00BE19E7"/>
    <w:rsid w:val="00C43E29"/>
    <w:rsid w:val="00C54B77"/>
    <w:rsid w:val="00C62CC2"/>
    <w:rsid w:val="00CD5E36"/>
    <w:rsid w:val="00D802ED"/>
    <w:rsid w:val="00DB1EC6"/>
    <w:rsid w:val="00F47E99"/>
    <w:rsid w:val="00FE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2A12"/>
  <w15:docId w15:val="{FB10D614-D25D-4743-AC65-111B02007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3E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65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266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66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66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6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65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A04B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25ADE"/>
    <w:pPr>
      <w:ind w:left="720"/>
      <w:contextualSpacing/>
    </w:pPr>
  </w:style>
  <w:style w:type="table" w:styleId="TableGrid">
    <w:name w:val="Table Grid"/>
    <w:basedOn w:val="TableNormal"/>
    <w:uiPriority w:val="39"/>
    <w:rsid w:val="00026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265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5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65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DD381-5C4D-4CBF-A849-8D849B4F0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 Belcher</dc:creator>
  <cp:lastModifiedBy>John Stawpert</cp:lastModifiedBy>
  <cp:revision>4</cp:revision>
  <cp:lastPrinted>2015-09-06T15:20:00Z</cp:lastPrinted>
  <dcterms:created xsi:type="dcterms:W3CDTF">2015-10-01T13:30:00Z</dcterms:created>
  <dcterms:modified xsi:type="dcterms:W3CDTF">2015-10-07T13:24:00Z</dcterms:modified>
</cp:coreProperties>
</file>